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F3CA" w14:textId="4386B80A" w:rsidR="00A54A73" w:rsidRDefault="004F3720" w:rsidP="008548AA">
      <w:pPr>
        <w:pStyle w:val="Heading1"/>
        <w:rPr>
          <w:b/>
          <w:color w:val="auto"/>
          <w:lang w:val="en-US"/>
        </w:rPr>
      </w:pPr>
      <w:bookmarkStart w:id="0" w:name="_Toc92713678"/>
      <w:r>
        <w:rPr>
          <w:b/>
          <w:color w:val="auto"/>
          <w:lang w:val="en-US"/>
        </w:rPr>
        <w:t xml:space="preserve">AODA </w:t>
      </w:r>
      <w:r w:rsidR="001E352A" w:rsidRPr="008548AA">
        <w:rPr>
          <w:b/>
          <w:color w:val="auto"/>
          <w:lang w:val="en-US"/>
        </w:rPr>
        <w:t>Mu</w:t>
      </w:r>
      <w:r w:rsidR="00E45507">
        <w:rPr>
          <w:b/>
          <w:color w:val="auto"/>
          <w:lang w:val="en-US"/>
        </w:rPr>
        <w:t xml:space="preserve">lti-Year Accessibility Plan: </w:t>
      </w:r>
      <w:r w:rsidR="00642BE7">
        <w:rPr>
          <w:b/>
          <w:color w:val="auto"/>
          <w:lang w:val="en-US"/>
        </w:rPr>
        <w:t>20</w:t>
      </w:r>
      <w:r w:rsidR="00F45457">
        <w:rPr>
          <w:b/>
          <w:color w:val="auto"/>
          <w:lang w:val="en-US"/>
        </w:rPr>
        <w:t>2</w:t>
      </w:r>
      <w:r w:rsidR="00AA36D4">
        <w:rPr>
          <w:b/>
          <w:color w:val="auto"/>
          <w:lang w:val="en-US"/>
        </w:rPr>
        <w:t>1</w:t>
      </w:r>
      <w:r w:rsidR="00E2279D" w:rsidRPr="008548AA">
        <w:rPr>
          <w:b/>
          <w:color w:val="auto"/>
          <w:lang w:val="en-US"/>
        </w:rPr>
        <w:t xml:space="preserve"> Update</w:t>
      </w:r>
      <w:bookmarkEnd w:id="0"/>
    </w:p>
    <w:p w14:paraId="093937FF" w14:textId="25AF6473" w:rsidR="00E170A9" w:rsidRPr="00E26A00" w:rsidRDefault="006E2F0E" w:rsidP="00122EC0">
      <w:pPr>
        <w:spacing w:before="240" w:after="240"/>
        <w:rPr>
          <w:sz w:val="24"/>
          <w:szCs w:val="24"/>
          <w:lang w:val="en-US"/>
        </w:rPr>
      </w:pPr>
      <w:r w:rsidRPr="00E26A00">
        <w:rPr>
          <w:sz w:val="24"/>
          <w:szCs w:val="24"/>
          <w:lang w:val="en-US"/>
        </w:rPr>
        <w:t>Alternative accessible formats</w:t>
      </w:r>
      <w:r w:rsidR="00720781" w:rsidRPr="00E26A00">
        <w:rPr>
          <w:sz w:val="24"/>
          <w:szCs w:val="24"/>
          <w:lang w:val="en-US"/>
        </w:rPr>
        <w:t xml:space="preserve"> and communication supports</w:t>
      </w:r>
      <w:r w:rsidR="001B7846" w:rsidRPr="00E26A00">
        <w:rPr>
          <w:sz w:val="24"/>
          <w:szCs w:val="24"/>
          <w:lang w:val="en-US"/>
        </w:rPr>
        <w:t xml:space="preserve"> are</w:t>
      </w:r>
      <w:r w:rsidRPr="00E26A00">
        <w:rPr>
          <w:sz w:val="24"/>
          <w:szCs w:val="24"/>
          <w:lang w:val="en-US"/>
        </w:rPr>
        <w:t xml:space="preserve"> available upon request to </w:t>
      </w:r>
      <w:hyperlink r:id="rId8" w:history="1">
        <w:r w:rsidRPr="00E26A00">
          <w:rPr>
            <w:rStyle w:val="Hyperlink"/>
            <w:sz w:val="24"/>
            <w:szCs w:val="24"/>
            <w:lang w:val="en-US"/>
          </w:rPr>
          <w:t>access@trentu.c</w:t>
        </w:r>
        <w:r w:rsidR="0058745B" w:rsidRPr="00E26A00">
          <w:rPr>
            <w:rStyle w:val="Hyperlink"/>
            <w:sz w:val="24"/>
            <w:szCs w:val="24"/>
            <w:lang w:val="en-US"/>
          </w:rPr>
          <w:t>a</w:t>
        </w:r>
      </w:hyperlink>
    </w:p>
    <w:sdt>
      <w:sdtPr>
        <w:rPr>
          <w:rFonts w:eastAsia="Times New Roman" w:cs="Times New Roman"/>
          <w:color w:val="auto"/>
          <w:sz w:val="22"/>
          <w:szCs w:val="20"/>
          <w:lang w:val="en-CA"/>
        </w:rPr>
        <w:id w:val="-12832538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25DA2C" w14:textId="77777777" w:rsidR="00E170A9" w:rsidRPr="00DB0F44" w:rsidRDefault="00E170A9">
          <w:pPr>
            <w:pStyle w:val="TOCHeading"/>
            <w:rPr>
              <w:color w:val="auto"/>
            </w:rPr>
          </w:pPr>
          <w:r w:rsidRPr="00DB0F44">
            <w:rPr>
              <w:color w:val="auto"/>
            </w:rPr>
            <w:t>Contents</w:t>
          </w:r>
        </w:p>
        <w:p w14:paraId="1ADC2C5A" w14:textId="23621BDA" w:rsidR="001B7846" w:rsidRPr="001B7846" w:rsidRDefault="00E170A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1B7846">
            <w:rPr>
              <w:sz w:val="24"/>
              <w:szCs w:val="24"/>
            </w:rPr>
            <w:fldChar w:fldCharType="begin"/>
          </w:r>
          <w:r w:rsidRPr="001B7846">
            <w:rPr>
              <w:sz w:val="24"/>
              <w:szCs w:val="24"/>
            </w:rPr>
            <w:instrText xml:space="preserve"> TOC \o "1-3" \h \z \u </w:instrText>
          </w:r>
          <w:r w:rsidRPr="001B7846">
            <w:rPr>
              <w:sz w:val="24"/>
              <w:szCs w:val="24"/>
            </w:rPr>
            <w:fldChar w:fldCharType="separate"/>
          </w:r>
          <w:hyperlink w:anchor="_Toc92713678" w:history="1">
            <w:r w:rsidR="001B7846" w:rsidRPr="001B7846">
              <w:rPr>
                <w:rStyle w:val="Hyperlink"/>
                <w:b/>
                <w:noProof/>
                <w:sz w:val="24"/>
                <w:szCs w:val="24"/>
                <w:lang w:val="en-US"/>
              </w:rPr>
              <w:t>AODA Multi-Year Accessibility Plan: 2021 Update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_Toc92713678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1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9E38C4" w14:textId="611BBCE7" w:rsidR="001B7846" w:rsidRPr="001B7846" w:rsidRDefault="008F30E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79" w:history="1">
            <w:r w:rsidR="001B7846" w:rsidRPr="001B7846">
              <w:rPr>
                <w:rStyle w:val="Hyperlink"/>
                <w:noProof/>
                <w:sz w:val="24"/>
                <w:szCs w:val="24"/>
              </w:rPr>
              <w:t>Introduction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_Toc92713679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2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F466EF" w14:textId="0D6BC8D6" w:rsidR="001B7846" w:rsidRPr="001B7846" w:rsidRDefault="008F30E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0" w:history="1">
            <w:r w:rsidR="001B7846" w:rsidRPr="001B7846">
              <w:rPr>
                <w:rStyle w:val="Hyperlink"/>
                <w:noProof/>
                <w:sz w:val="24"/>
                <w:szCs w:val="24"/>
              </w:rPr>
              <w:t>Compliance Requirements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_Toc92713680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3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DAD59" w14:textId="291D9ED4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1" w:history="1">
            <w:r w:rsidR="001B7846" w:rsidRPr="001B7846">
              <w:rPr>
                <w:rStyle w:val="Hyperlink"/>
                <w:noProof/>
                <w:sz w:val="24"/>
                <w:szCs w:val="24"/>
              </w:rPr>
              <w:t>Annual Status Report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_Toc92713681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3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016F6" w14:textId="2DCC463B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2" w:history="1">
            <w:r w:rsidR="001B7846" w:rsidRPr="001B7846">
              <w:rPr>
                <w:rStyle w:val="Hyperlink"/>
                <w:noProof/>
                <w:sz w:val="24"/>
                <w:szCs w:val="24"/>
              </w:rPr>
              <w:t>Multi-Year Accessibility Plan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_Toc92713682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3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CD96EF" w14:textId="66E16153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3" w:history="1">
            <w:r w:rsidR="001B7846" w:rsidRPr="001B7846">
              <w:rPr>
                <w:rStyle w:val="Hyperlink"/>
                <w:noProof/>
                <w:sz w:val="24"/>
                <w:szCs w:val="24"/>
              </w:rPr>
              <w:t>AODA Compliance Report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_Toc92713683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3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24382C" w14:textId="2702BAB4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4" w:history="1"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IASR Section 7 – Training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_Toc92713684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3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8BD8A8" w14:textId="540E93F4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5" w:history="1"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IASR Section 14 – Accessible Websites and Web Content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_Toc92713685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3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039BCC" w14:textId="08C8EC2A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6" w:history="1">
            <w:r w:rsidR="001B7846" w:rsidRPr="001B7846">
              <w:rPr>
                <w:rStyle w:val="Hyperlink"/>
                <w:rFonts w:cs="Arial"/>
                <w:noProof/>
                <w:sz w:val="24"/>
                <w:szCs w:val="24"/>
                <w:lang w:val="en-US"/>
              </w:rPr>
              <w:t xml:space="preserve">IASR </w:t>
            </w:r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Section 15 – Educational and Training Resources and Materials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_Toc92713686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4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C90C3" w14:textId="35C310AF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7" w:history="1">
            <w:r w:rsidR="001B7846" w:rsidRPr="001B7846">
              <w:rPr>
                <w:rStyle w:val="Hyperlink"/>
                <w:rFonts w:cs="Arial"/>
                <w:noProof/>
                <w:sz w:val="24"/>
                <w:szCs w:val="24"/>
                <w:lang w:val="en-US"/>
              </w:rPr>
              <w:t xml:space="preserve">IASR </w:t>
            </w:r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Section 16 – Training for Educators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_Toc92713687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4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A76C3" w14:textId="1FB94DBF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8" w:history="1"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IASR Section 80.1 – 80.44 Design of Public Spaces Standard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_Toc92713688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4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3ADC3A" w14:textId="1CA18815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89" w:history="1"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IASR Section 80.45 – 80.51 - Customer Service Standard Training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_Toc92713689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4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1F5831" w14:textId="74172A8B" w:rsidR="001B7846" w:rsidRPr="001B7846" w:rsidRDefault="008F30E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90" w:history="1"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Consultation on New Standard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_Toc92713690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5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70F57" w14:textId="117B6D59" w:rsidR="001B7846" w:rsidRPr="001B7846" w:rsidRDefault="008F30E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91" w:history="1">
            <w:r w:rsidR="001B7846" w:rsidRPr="001B7846">
              <w:rPr>
                <w:rStyle w:val="Hyperlink"/>
                <w:noProof/>
                <w:sz w:val="24"/>
                <w:szCs w:val="24"/>
                <w:lang w:val="en-US"/>
              </w:rPr>
              <w:t>AODA Education Standard Initial Recommendations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_Toc92713691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5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6457A5" w14:textId="092592EE" w:rsidR="001B7846" w:rsidRPr="001B7846" w:rsidRDefault="008F30E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92713692" w:history="1">
            <w:r w:rsidR="001B7846" w:rsidRPr="001B7846">
              <w:rPr>
                <w:rStyle w:val="Hyperlink"/>
                <w:noProof/>
                <w:sz w:val="24"/>
                <w:szCs w:val="24"/>
              </w:rPr>
              <w:t>Contact</w:t>
            </w:r>
            <w:r w:rsidR="001B7846" w:rsidRPr="001B7846">
              <w:rPr>
                <w:noProof/>
                <w:webHidden/>
                <w:sz w:val="24"/>
                <w:szCs w:val="24"/>
              </w:rPr>
              <w:tab/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begin"/>
            </w:r>
            <w:r w:rsidR="001B7846" w:rsidRPr="001B7846">
              <w:rPr>
                <w:noProof/>
                <w:webHidden/>
                <w:sz w:val="24"/>
                <w:szCs w:val="24"/>
              </w:rPr>
              <w:instrText xml:space="preserve"> PAGEREF _Toc92713692 \h </w:instrText>
            </w:r>
            <w:r w:rsidR="001B7846" w:rsidRPr="001B7846">
              <w:rPr>
                <w:noProof/>
                <w:webHidden/>
                <w:sz w:val="24"/>
                <w:szCs w:val="24"/>
              </w:rPr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846" w:rsidRPr="001B7846">
              <w:rPr>
                <w:noProof/>
                <w:webHidden/>
                <w:sz w:val="24"/>
                <w:szCs w:val="24"/>
              </w:rPr>
              <w:t>5</w:t>
            </w:r>
            <w:r w:rsidR="001B7846" w:rsidRPr="001B78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5C4AC1" w14:textId="4D832304" w:rsidR="00E170A9" w:rsidRDefault="00E170A9">
          <w:r w:rsidRPr="001B784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380A74A" w14:textId="3150E453" w:rsidR="00E170A9" w:rsidRPr="00E45507" w:rsidRDefault="006E2F0E" w:rsidP="0015740F">
      <w:pPr>
        <w:pStyle w:val="Heading2"/>
        <w:spacing w:after="100" w:afterAutospacing="1"/>
        <w:rPr>
          <w:lang w:val="en-US"/>
        </w:rPr>
      </w:pPr>
      <w:r>
        <w:rPr>
          <w:lang w:val="en-US"/>
        </w:rPr>
        <w:br w:type="page"/>
      </w:r>
      <w:bookmarkStart w:id="1" w:name="_Toc92713679"/>
      <w:r w:rsidR="00E170A9" w:rsidRPr="0015740F">
        <w:rPr>
          <w:color w:val="auto"/>
        </w:rPr>
        <w:lastRenderedPageBreak/>
        <w:t>Introduction</w:t>
      </w:r>
      <w:bookmarkEnd w:id="1"/>
      <w:r w:rsidR="00E170A9" w:rsidRPr="0015740F">
        <w:rPr>
          <w:color w:val="auto"/>
          <w:lang w:val="en-US"/>
        </w:rPr>
        <w:t xml:space="preserve"> </w:t>
      </w:r>
    </w:p>
    <w:p w14:paraId="5E5F83B9" w14:textId="0AAF0E6E" w:rsidR="00E16549" w:rsidRPr="00E1203D" w:rsidRDefault="00A54A73" w:rsidP="0015740F">
      <w:pPr>
        <w:autoSpaceDE w:val="0"/>
        <w:autoSpaceDN w:val="0"/>
        <w:adjustRightInd w:val="0"/>
        <w:spacing w:after="100" w:afterAutospacing="1"/>
        <w:rPr>
          <w:rFonts w:cs="Arial"/>
          <w:sz w:val="24"/>
          <w:szCs w:val="24"/>
        </w:rPr>
      </w:pPr>
      <w:r w:rsidRPr="00E1203D">
        <w:rPr>
          <w:rFonts w:cs="Arial"/>
          <w:sz w:val="24"/>
          <w:szCs w:val="24"/>
        </w:rPr>
        <w:t xml:space="preserve">The </w:t>
      </w:r>
      <w:r w:rsidRPr="00122EC0">
        <w:rPr>
          <w:rFonts w:cs="Arial"/>
          <w:sz w:val="24"/>
          <w:szCs w:val="24"/>
        </w:rPr>
        <w:t>Accessibility for Ontarians with Disabilities Act</w:t>
      </w:r>
      <w:r w:rsidRPr="000A3869">
        <w:rPr>
          <w:rFonts w:cs="Arial"/>
          <w:sz w:val="24"/>
          <w:szCs w:val="24"/>
        </w:rPr>
        <w:t xml:space="preserve"> (AODA</w:t>
      </w:r>
      <w:r w:rsidRPr="00E1203D">
        <w:rPr>
          <w:rFonts w:cs="Arial"/>
          <w:sz w:val="24"/>
          <w:szCs w:val="24"/>
        </w:rPr>
        <w:t xml:space="preserve">) came into effect in Ontario in 2005. The </w:t>
      </w:r>
      <w:r w:rsidRPr="00122EC0">
        <w:rPr>
          <w:rFonts w:cs="Arial"/>
          <w:sz w:val="24"/>
          <w:szCs w:val="24"/>
        </w:rPr>
        <w:t>AODA</w:t>
      </w:r>
      <w:r w:rsidRPr="00E1203D">
        <w:rPr>
          <w:rFonts w:cs="Arial"/>
          <w:sz w:val="24"/>
          <w:szCs w:val="24"/>
        </w:rPr>
        <w:t xml:space="preserve"> applies to both the public and private sectors and its goal is to ensure that all Ontarians with disabilities have </w:t>
      </w:r>
      <w:r w:rsidR="00AF237D">
        <w:rPr>
          <w:rFonts w:cs="Arial"/>
          <w:sz w:val="24"/>
          <w:szCs w:val="24"/>
        </w:rPr>
        <w:t xml:space="preserve">full access to goods, services, </w:t>
      </w:r>
      <w:r w:rsidRPr="00E1203D">
        <w:rPr>
          <w:rFonts w:cs="Arial"/>
          <w:sz w:val="24"/>
          <w:szCs w:val="24"/>
        </w:rPr>
        <w:t xml:space="preserve">facilities, accommodation, employment, building structures and premises by January 1, 2025. This goal is being achieved through the development, </w:t>
      </w:r>
      <w:r w:rsidR="00746EC6" w:rsidRPr="00E1203D">
        <w:rPr>
          <w:rFonts w:cs="Arial"/>
          <w:sz w:val="24"/>
          <w:szCs w:val="24"/>
        </w:rPr>
        <w:t>implementation,</w:t>
      </w:r>
      <w:r w:rsidRPr="00E1203D">
        <w:rPr>
          <w:rFonts w:cs="Arial"/>
          <w:sz w:val="24"/>
          <w:szCs w:val="24"/>
        </w:rPr>
        <w:t xml:space="preserve"> and enforcement of </w:t>
      </w:r>
      <w:r w:rsidR="00811687" w:rsidRPr="00E1203D">
        <w:rPr>
          <w:rFonts w:cs="Arial"/>
          <w:sz w:val="24"/>
          <w:szCs w:val="24"/>
        </w:rPr>
        <w:t>provincially set</w:t>
      </w:r>
      <w:r w:rsidRPr="00E1203D">
        <w:rPr>
          <w:rFonts w:cs="Arial"/>
          <w:sz w:val="24"/>
          <w:szCs w:val="24"/>
        </w:rPr>
        <w:t xml:space="preserve"> accessibility standards. </w:t>
      </w:r>
    </w:p>
    <w:p w14:paraId="114D3690" w14:textId="33BA3DA1" w:rsidR="002D59F1" w:rsidRDefault="00E16549" w:rsidP="00E1654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1203D">
        <w:rPr>
          <w:rFonts w:cs="Arial"/>
          <w:sz w:val="24"/>
          <w:szCs w:val="24"/>
        </w:rPr>
        <w:t xml:space="preserve">Trent University is committed to a learning and working environment </w:t>
      </w:r>
      <w:r w:rsidR="00246683">
        <w:rPr>
          <w:rFonts w:cs="Arial"/>
          <w:sz w:val="24"/>
          <w:szCs w:val="24"/>
        </w:rPr>
        <w:t>that</w:t>
      </w:r>
      <w:r w:rsidRPr="00E1203D">
        <w:rPr>
          <w:rFonts w:cs="Arial"/>
          <w:sz w:val="24"/>
          <w:szCs w:val="24"/>
        </w:rPr>
        <w:t xml:space="preserve"> provides </w:t>
      </w:r>
      <w:r w:rsidR="00067216" w:rsidRPr="00E1203D">
        <w:rPr>
          <w:rFonts w:cs="Arial"/>
          <w:sz w:val="24"/>
          <w:szCs w:val="24"/>
        </w:rPr>
        <w:t xml:space="preserve">opportunities for </w:t>
      </w:r>
      <w:r w:rsidRPr="00E1203D">
        <w:rPr>
          <w:rFonts w:cs="Arial"/>
          <w:sz w:val="24"/>
          <w:szCs w:val="24"/>
        </w:rPr>
        <w:t xml:space="preserve">development </w:t>
      </w:r>
      <w:r w:rsidR="00067216" w:rsidRPr="00E1203D">
        <w:rPr>
          <w:rFonts w:cs="Arial"/>
          <w:sz w:val="24"/>
          <w:szCs w:val="24"/>
        </w:rPr>
        <w:t xml:space="preserve">and growth for </w:t>
      </w:r>
      <w:r w:rsidRPr="00E1203D">
        <w:rPr>
          <w:rFonts w:cs="Arial"/>
          <w:sz w:val="24"/>
          <w:szCs w:val="24"/>
        </w:rPr>
        <w:t xml:space="preserve">its community </w:t>
      </w:r>
      <w:r w:rsidR="00BF0B9A">
        <w:rPr>
          <w:rFonts w:cs="Arial"/>
          <w:sz w:val="24"/>
          <w:szCs w:val="24"/>
        </w:rPr>
        <w:t xml:space="preserve">members. </w:t>
      </w:r>
      <w:r w:rsidRPr="00E1203D">
        <w:rPr>
          <w:rFonts w:cs="Arial"/>
          <w:sz w:val="24"/>
          <w:szCs w:val="24"/>
        </w:rPr>
        <w:t>In keeping with th</w:t>
      </w:r>
      <w:r w:rsidR="00067216" w:rsidRPr="00E1203D">
        <w:rPr>
          <w:rFonts w:cs="Arial"/>
          <w:sz w:val="24"/>
          <w:szCs w:val="24"/>
        </w:rPr>
        <w:t>is mission, Trent embraces the “E</w:t>
      </w:r>
      <w:r w:rsidRPr="00E1203D">
        <w:rPr>
          <w:rFonts w:cs="Arial"/>
          <w:sz w:val="24"/>
          <w:szCs w:val="24"/>
        </w:rPr>
        <w:t>nviro</w:t>
      </w:r>
      <w:r w:rsidR="00067216" w:rsidRPr="00E1203D">
        <w:rPr>
          <w:rFonts w:cs="Arial"/>
          <w:sz w:val="24"/>
          <w:szCs w:val="24"/>
        </w:rPr>
        <w:t>nmental Model of D</w:t>
      </w:r>
      <w:r w:rsidRPr="00E1203D">
        <w:rPr>
          <w:rFonts w:cs="Arial"/>
          <w:sz w:val="24"/>
          <w:szCs w:val="24"/>
        </w:rPr>
        <w:t>isability</w:t>
      </w:r>
      <w:r w:rsidR="00067216" w:rsidRPr="00E1203D">
        <w:rPr>
          <w:rFonts w:cs="Arial"/>
          <w:sz w:val="24"/>
          <w:szCs w:val="24"/>
        </w:rPr>
        <w:t>”</w:t>
      </w:r>
      <w:r w:rsidRPr="00E1203D">
        <w:rPr>
          <w:rFonts w:cs="Arial"/>
          <w:sz w:val="24"/>
          <w:szCs w:val="24"/>
        </w:rPr>
        <w:t xml:space="preserve"> as operationalized in the World Health Organization’s definition of disability. In this model, disability is viewed as a consequence of barriers created by design flaws in the built and human environment</w:t>
      </w:r>
      <w:r w:rsidR="00FC47EA" w:rsidRPr="00E1203D">
        <w:rPr>
          <w:rFonts w:cs="Arial"/>
          <w:sz w:val="24"/>
          <w:szCs w:val="24"/>
        </w:rPr>
        <w:t>s</w:t>
      </w:r>
      <w:r w:rsidRPr="00E1203D">
        <w:rPr>
          <w:rFonts w:cs="Arial"/>
          <w:sz w:val="24"/>
          <w:szCs w:val="24"/>
        </w:rPr>
        <w:t>. It is these design flaw</w:t>
      </w:r>
      <w:r w:rsidR="00B13B0B">
        <w:rPr>
          <w:rFonts w:cs="Arial"/>
          <w:sz w:val="24"/>
          <w:szCs w:val="24"/>
        </w:rPr>
        <w:t xml:space="preserve">s, </w:t>
      </w:r>
      <w:r w:rsidRPr="00E1203D">
        <w:rPr>
          <w:rFonts w:cs="Arial"/>
          <w:sz w:val="24"/>
          <w:szCs w:val="24"/>
        </w:rPr>
        <w:t xml:space="preserve">which prevent people with disabilities from full participation in a community.  Trent University is committed to breaking down the </w:t>
      </w:r>
      <w:r w:rsidR="001108A6" w:rsidRPr="00E1203D">
        <w:rPr>
          <w:rFonts w:cs="Arial"/>
          <w:sz w:val="24"/>
          <w:szCs w:val="24"/>
        </w:rPr>
        <w:t>barriers, which</w:t>
      </w:r>
      <w:r w:rsidRPr="00E1203D">
        <w:rPr>
          <w:rFonts w:cs="Arial"/>
          <w:sz w:val="24"/>
          <w:szCs w:val="24"/>
        </w:rPr>
        <w:t xml:space="preserve"> prevent the full inclusion of all</w:t>
      </w:r>
      <w:r w:rsidR="00584AFA">
        <w:rPr>
          <w:rFonts w:cs="Arial"/>
          <w:sz w:val="24"/>
          <w:szCs w:val="24"/>
        </w:rPr>
        <w:t xml:space="preserve"> </w:t>
      </w:r>
      <w:r w:rsidRPr="00E1203D">
        <w:rPr>
          <w:rFonts w:cs="Arial"/>
          <w:sz w:val="24"/>
          <w:szCs w:val="24"/>
        </w:rPr>
        <w:t>of its comm</w:t>
      </w:r>
      <w:r w:rsidR="00BD2695" w:rsidRPr="00E1203D">
        <w:rPr>
          <w:rFonts w:cs="Arial"/>
          <w:sz w:val="24"/>
          <w:szCs w:val="24"/>
        </w:rPr>
        <w:t xml:space="preserve">unity members in its living and </w:t>
      </w:r>
      <w:r w:rsidRPr="00E1203D">
        <w:rPr>
          <w:rFonts w:cs="Arial"/>
          <w:sz w:val="24"/>
          <w:szCs w:val="24"/>
        </w:rPr>
        <w:t>learning environment</w:t>
      </w:r>
      <w:r w:rsidR="007F051D">
        <w:rPr>
          <w:rFonts w:cs="Arial"/>
          <w:sz w:val="24"/>
          <w:szCs w:val="24"/>
        </w:rPr>
        <w:t>s</w:t>
      </w:r>
      <w:r w:rsidRPr="00E1203D">
        <w:rPr>
          <w:rFonts w:cs="Arial"/>
          <w:sz w:val="24"/>
          <w:szCs w:val="24"/>
        </w:rPr>
        <w:t xml:space="preserve">. </w:t>
      </w:r>
    </w:p>
    <w:p w14:paraId="5A32EA6F" w14:textId="77777777" w:rsidR="002D59F1" w:rsidRPr="002D59F1" w:rsidRDefault="002D59F1" w:rsidP="002D59F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434BFB2" w14:textId="53345735" w:rsidR="002D59F1" w:rsidRPr="0015740F" w:rsidRDefault="003742F8" w:rsidP="0015740F">
      <w:pPr>
        <w:pStyle w:val="Heading2"/>
        <w:spacing w:after="100" w:afterAutospacing="1"/>
        <w:rPr>
          <w:color w:val="auto"/>
        </w:rPr>
      </w:pPr>
      <w:bookmarkStart w:id="2" w:name="_Toc92713680"/>
      <w:r w:rsidRPr="00196E85">
        <w:rPr>
          <w:color w:val="auto"/>
        </w:rPr>
        <w:lastRenderedPageBreak/>
        <w:t>Compliance Requirements</w:t>
      </w:r>
      <w:bookmarkEnd w:id="2"/>
      <w:r w:rsidRPr="00196E85">
        <w:rPr>
          <w:color w:val="auto"/>
        </w:rPr>
        <w:t xml:space="preserve"> </w:t>
      </w:r>
    </w:p>
    <w:p w14:paraId="06AAF532" w14:textId="77777777" w:rsidR="002D59F1" w:rsidRPr="00196E85" w:rsidRDefault="002D59F1" w:rsidP="002D59F1">
      <w:pPr>
        <w:pStyle w:val="Heading30"/>
        <w:rPr>
          <w:sz w:val="24"/>
          <w:szCs w:val="24"/>
          <w:u w:val="none"/>
        </w:rPr>
      </w:pPr>
      <w:bookmarkStart w:id="3" w:name="_Toc92713681"/>
      <w:r w:rsidRPr="00196E85">
        <w:rPr>
          <w:sz w:val="24"/>
          <w:szCs w:val="24"/>
          <w:u w:val="none"/>
        </w:rPr>
        <w:t>Annual Status Report</w:t>
      </w:r>
      <w:bookmarkEnd w:id="3"/>
    </w:p>
    <w:p w14:paraId="678D375C" w14:textId="2B750B3B" w:rsidR="002D59F1" w:rsidRDefault="002D59F1" w:rsidP="002D59F1">
      <w:pPr>
        <w:autoSpaceDE w:val="0"/>
        <w:autoSpaceDN w:val="0"/>
        <w:adjustRightInd w:val="0"/>
        <w:spacing w:after="100" w:afterAutospacing="1"/>
        <w:rPr>
          <w:rFonts w:cs="Arial"/>
          <w:color w:val="000000"/>
          <w:sz w:val="24"/>
          <w:szCs w:val="24"/>
        </w:rPr>
      </w:pPr>
      <w:r w:rsidRPr="00E1203D">
        <w:rPr>
          <w:rFonts w:cs="Arial"/>
          <w:color w:val="000000"/>
          <w:sz w:val="24"/>
          <w:szCs w:val="24"/>
        </w:rPr>
        <w:t xml:space="preserve">This report serves as the annual update to </w:t>
      </w:r>
      <w:r>
        <w:rPr>
          <w:rFonts w:cs="Arial"/>
          <w:color w:val="000000"/>
          <w:sz w:val="24"/>
          <w:szCs w:val="24"/>
        </w:rPr>
        <w:t xml:space="preserve">Trent’s </w:t>
      </w:r>
      <w:r w:rsidRPr="00122EC0">
        <w:rPr>
          <w:rFonts w:cs="Arial"/>
          <w:color w:val="000000"/>
          <w:sz w:val="24"/>
          <w:szCs w:val="24"/>
        </w:rPr>
        <w:t>AODA</w:t>
      </w:r>
      <w:r w:rsidRPr="00E1203D">
        <w:rPr>
          <w:rFonts w:cs="Arial"/>
          <w:color w:val="000000"/>
          <w:sz w:val="24"/>
          <w:szCs w:val="24"/>
        </w:rPr>
        <w:t xml:space="preserve"> Multi-</w:t>
      </w:r>
      <w:r>
        <w:rPr>
          <w:rFonts w:cs="Arial"/>
          <w:color w:val="000000"/>
          <w:sz w:val="24"/>
          <w:szCs w:val="24"/>
        </w:rPr>
        <w:t>Y</w:t>
      </w:r>
      <w:r w:rsidRPr="00E1203D">
        <w:rPr>
          <w:rFonts w:cs="Arial"/>
          <w:color w:val="000000"/>
          <w:sz w:val="24"/>
          <w:szCs w:val="24"/>
        </w:rPr>
        <w:t>ear Accessibility Plan</w:t>
      </w:r>
      <w:r>
        <w:rPr>
          <w:rFonts w:cs="Arial"/>
          <w:color w:val="000000"/>
          <w:sz w:val="24"/>
          <w:szCs w:val="24"/>
        </w:rPr>
        <w:t>, as required under</w:t>
      </w:r>
      <w:r w:rsidR="00BF0B9A">
        <w:rPr>
          <w:rFonts w:cs="Arial"/>
          <w:color w:val="000000"/>
          <w:sz w:val="24"/>
          <w:szCs w:val="24"/>
        </w:rPr>
        <w:t xml:space="preserve"> the Integrated Accessibility Standards Regulation (I</w:t>
      </w:r>
      <w:r>
        <w:rPr>
          <w:rFonts w:cs="Arial"/>
          <w:color w:val="000000"/>
          <w:sz w:val="24"/>
          <w:szCs w:val="24"/>
        </w:rPr>
        <w:t>ASR</w:t>
      </w:r>
      <w:r w:rsidR="00BF0B9A">
        <w:rPr>
          <w:rFonts w:cs="Arial"/>
          <w:color w:val="000000"/>
          <w:sz w:val="24"/>
          <w:szCs w:val="24"/>
        </w:rPr>
        <w:t>)</w:t>
      </w:r>
      <w:r>
        <w:rPr>
          <w:rFonts w:cs="Arial"/>
          <w:color w:val="000000"/>
          <w:sz w:val="24"/>
          <w:szCs w:val="24"/>
        </w:rPr>
        <w:t xml:space="preserve"> Section 4. </w:t>
      </w:r>
      <w:r w:rsidR="00581860">
        <w:rPr>
          <w:rFonts w:cs="Arial"/>
          <w:color w:val="000000"/>
          <w:sz w:val="24"/>
          <w:szCs w:val="24"/>
        </w:rPr>
        <w:t>This report details the s</w:t>
      </w:r>
      <w:r>
        <w:rPr>
          <w:rFonts w:cs="Arial"/>
          <w:color w:val="000000"/>
          <w:sz w:val="24"/>
          <w:szCs w:val="24"/>
        </w:rPr>
        <w:t xml:space="preserve">trategies and steps </w:t>
      </w:r>
      <w:r w:rsidR="00581860">
        <w:rPr>
          <w:rFonts w:cs="Arial"/>
          <w:color w:val="000000"/>
          <w:sz w:val="24"/>
          <w:szCs w:val="24"/>
        </w:rPr>
        <w:t xml:space="preserve">taken </w:t>
      </w:r>
      <w:r>
        <w:rPr>
          <w:rFonts w:cs="Arial"/>
          <w:color w:val="000000"/>
          <w:sz w:val="24"/>
          <w:szCs w:val="24"/>
        </w:rPr>
        <w:t>to bring Trent into</w:t>
      </w:r>
      <w:r w:rsidR="002256BE">
        <w:rPr>
          <w:rFonts w:cs="Arial"/>
          <w:color w:val="000000"/>
          <w:sz w:val="24"/>
          <w:szCs w:val="24"/>
        </w:rPr>
        <w:t xml:space="preserve"> and maintain</w:t>
      </w:r>
      <w:r>
        <w:rPr>
          <w:rFonts w:cs="Arial"/>
          <w:color w:val="000000"/>
          <w:sz w:val="24"/>
          <w:szCs w:val="24"/>
        </w:rPr>
        <w:t xml:space="preserve"> </w:t>
      </w:r>
      <w:r w:rsidR="00BF0B9A">
        <w:rPr>
          <w:rFonts w:cs="Arial"/>
          <w:color w:val="000000"/>
          <w:sz w:val="24"/>
          <w:szCs w:val="24"/>
        </w:rPr>
        <w:t>compliance</w:t>
      </w:r>
      <w:r w:rsidR="00AF237D">
        <w:rPr>
          <w:rFonts w:cs="Arial"/>
          <w:color w:val="000000"/>
          <w:sz w:val="24"/>
          <w:szCs w:val="24"/>
        </w:rPr>
        <w:t>.</w:t>
      </w:r>
    </w:p>
    <w:p w14:paraId="2F91A71B" w14:textId="55A4B3DA" w:rsidR="001647D4" w:rsidRDefault="002D59F1" w:rsidP="002D59F1">
      <w:pPr>
        <w:autoSpaceDE w:val="0"/>
        <w:autoSpaceDN w:val="0"/>
        <w:adjustRightInd w:val="0"/>
        <w:spacing w:after="100" w:afterAutospacing="1"/>
      </w:pPr>
      <w:r>
        <w:rPr>
          <w:rFonts w:cs="Arial"/>
          <w:color w:val="000000"/>
          <w:sz w:val="24"/>
          <w:szCs w:val="24"/>
        </w:rPr>
        <w:t>Th</w:t>
      </w:r>
      <w:r w:rsidR="00581860">
        <w:rPr>
          <w:rFonts w:cs="Arial"/>
          <w:color w:val="000000"/>
          <w:sz w:val="24"/>
          <w:szCs w:val="24"/>
        </w:rPr>
        <w:t>e</w:t>
      </w:r>
      <w:r>
        <w:rPr>
          <w:rFonts w:cs="Arial"/>
          <w:color w:val="000000"/>
          <w:sz w:val="24"/>
          <w:szCs w:val="24"/>
        </w:rPr>
        <w:t xml:space="preserve"> report is divided i</w:t>
      </w:r>
      <w:r w:rsidR="001C6A0C">
        <w:rPr>
          <w:rFonts w:cs="Arial"/>
          <w:color w:val="000000"/>
          <w:sz w:val="24"/>
          <w:szCs w:val="24"/>
        </w:rPr>
        <w:t xml:space="preserve">nto sections </w:t>
      </w:r>
      <w:r>
        <w:rPr>
          <w:rFonts w:cs="Arial"/>
          <w:color w:val="000000"/>
          <w:sz w:val="24"/>
          <w:szCs w:val="24"/>
        </w:rPr>
        <w:t xml:space="preserve">based on relevant requirements of the </w:t>
      </w:r>
      <w:r w:rsidR="00BF0B9A" w:rsidRPr="00122EC0">
        <w:rPr>
          <w:rFonts w:cs="Arial"/>
          <w:color w:val="000000"/>
          <w:sz w:val="24"/>
          <w:szCs w:val="24"/>
        </w:rPr>
        <w:t>AODA</w:t>
      </w:r>
      <w:r w:rsidR="00BF0B9A" w:rsidRPr="00BF0B9A">
        <w:rPr>
          <w:rFonts w:cs="Arial"/>
          <w:i/>
          <w:color w:val="000000"/>
          <w:sz w:val="24"/>
          <w:szCs w:val="24"/>
        </w:rPr>
        <w:t xml:space="preserve"> </w:t>
      </w:r>
      <w:r w:rsidR="00BF0B9A">
        <w:rPr>
          <w:rFonts w:cs="Arial"/>
          <w:color w:val="000000"/>
          <w:sz w:val="24"/>
          <w:szCs w:val="24"/>
        </w:rPr>
        <w:t>IASR</w:t>
      </w:r>
      <w:r>
        <w:rPr>
          <w:rFonts w:cs="Arial"/>
          <w:color w:val="000000"/>
          <w:sz w:val="24"/>
          <w:szCs w:val="24"/>
        </w:rPr>
        <w:t>, which are being highlighted because there</w:t>
      </w:r>
      <w:r w:rsidR="002C2A94">
        <w:rPr>
          <w:rFonts w:cs="Arial"/>
          <w:color w:val="000000"/>
          <w:sz w:val="24"/>
          <w:szCs w:val="24"/>
        </w:rPr>
        <w:t xml:space="preserve"> are</w:t>
      </w:r>
      <w:r>
        <w:rPr>
          <w:rFonts w:cs="Arial"/>
          <w:color w:val="000000"/>
          <w:sz w:val="24"/>
          <w:szCs w:val="24"/>
        </w:rPr>
        <w:t xml:space="preserve"> current or upcoming action</w:t>
      </w:r>
      <w:r w:rsidR="002C2A94"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 xml:space="preserve"> pertaining to the</w:t>
      </w:r>
      <w:r w:rsidR="005F4F9D">
        <w:rPr>
          <w:rFonts w:cs="Arial"/>
          <w:color w:val="000000"/>
          <w:sz w:val="24"/>
          <w:szCs w:val="24"/>
        </w:rPr>
        <w:t>se</w:t>
      </w:r>
      <w:r>
        <w:rPr>
          <w:rFonts w:cs="Arial"/>
          <w:color w:val="000000"/>
          <w:sz w:val="24"/>
          <w:szCs w:val="24"/>
        </w:rPr>
        <w:t xml:space="preserve"> sections’ requirement</w:t>
      </w:r>
      <w:r w:rsidR="007B6A10"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>.</w:t>
      </w:r>
      <w:r w:rsidRPr="001647D4">
        <w:t xml:space="preserve"> </w:t>
      </w:r>
    </w:p>
    <w:p w14:paraId="74308A54" w14:textId="11FE9403" w:rsidR="00584AFA" w:rsidRDefault="00584AFA" w:rsidP="00584AFA">
      <w:pPr>
        <w:pStyle w:val="Heading30"/>
        <w:rPr>
          <w:sz w:val="24"/>
          <w:szCs w:val="24"/>
          <w:u w:val="none"/>
        </w:rPr>
      </w:pPr>
      <w:bookmarkStart w:id="4" w:name="_Toc92713682"/>
      <w:r>
        <w:rPr>
          <w:sz w:val="24"/>
          <w:szCs w:val="24"/>
          <w:u w:val="none"/>
        </w:rPr>
        <w:t>Multi-Year Accessibility Plan</w:t>
      </w:r>
      <w:bookmarkEnd w:id="4"/>
    </w:p>
    <w:p w14:paraId="18EDD0A8" w14:textId="5970DE77" w:rsidR="00DA02E4" w:rsidRPr="00C36E99" w:rsidRDefault="009F4B07" w:rsidP="00746EC6">
      <w:pPr>
        <w:spacing w:after="240"/>
        <w:rPr>
          <w:sz w:val="24"/>
          <w:szCs w:val="24"/>
        </w:rPr>
      </w:pPr>
      <w:r w:rsidRPr="00C36E99">
        <w:rPr>
          <w:sz w:val="24"/>
          <w:szCs w:val="24"/>
        </w:rPr>
        <w:t xml:space="preserve">Trent is required to </w:t>
      </w:r>
      <w:r w:rsidR="00D06316">
        <w:rPr>
          <w:sz w:val="24"/>
          <w:szCs w:val="24"/>
        </w:rPr>
        <w:t>review</w:t>
      </w:r>
      <w:r w:rsidRPr="00C36E99">
        <w:rPr>
          <w:sz w:val="24"/>
          <w:szCs w:val="24"/>
        </w:rPr>
        <w:t xml:space="preserve"> its Multi-Year Accessibility Plan in 2022 as per </w:t>
      </w:r>
      <w:r w:rsidR="004C0409" w:rsidRPr="00C36E99">
        <w:rPr>
          <w:sz w:val="24"/>
          <w:szCs w:val="24"/>
        </w:rPr>
        <w:t>Section 4 of the AODA IASR</w:t>
      </w:r>
      <w:r w:rsidRPr="00C36E99">
        <w:rPr>
          <w:sz w:val="24"/>
          <w:szCs w:val="24"/>
        </w:rPr>
        <w:t xml:space="preserve"> legislation</w:t>
      </w:r>
      <w:r w:rsidR="00444CB5">
        <w:rPr>
          <w:sz w:val="24"/>
          <w:szCs w:val="24"/>
        </w:rPr>
        <w:t>, which requires</w:t>
      </w:r>
      <w:r w:rsidR="00D06316">
        <w:rPr>
          <w:sz w:val="24"/>
          <w:szCs w:val="24"/>
        </w:rPr>
        <w:t xml:space="preserve"> review</w:t>
      </w:r>
      <w:r w:rsidR="00444CB5">
        <w:rPr>
          <w:sz w:val="24"/>
          <w:szCs w:val="24"/>
        </w:rPr>
        <w:t xml:space="preserve"> </w:t>
      </w:r>
      <w:r w:rsidR="00D06316">
        <w:rPr>
          <w:sz w:val="24"/>
          <w:szCs w:val="24"/>
        </w:rPr>
        <w:t xml:space="preserve">every five years. </w:t>
      </w:r>
      <w:r w:rsidRPr="00C36E99">
        <w:rPr>
          <w:sz w:val="24"/>
          <w:szCs w:val="24"/>
        </w:rPr>
        <w:t xml:space="preserve">The plan will be </w:t>
      </w:r>
      <w:r w:rsidR="000D1240">
        <w:rPr>
          <w:sz w:val="24"/>
          <w:szCs w:val="24"/>
        </w:rPr>
        <w:t>reviewed</w:t>
      </w:r>
      <w:r w:rsidRPr="00C36E99">
        <w:rPr>
          <w:sz w:val="24"/>
          <w:szCs w:val="24"/>
        </w:rPr>
        <w:t xml:space="preserve"> in consultation with persons with disabilities as required.</w:t>
      </w:r>
      <w:r w:rsidR="005B1BEC" w:rsidRPr="00C36E99">
        <w:rPr>
          <w:b/>
          <w:sz w:val="24"/>
          <w:szCs w:val="24"/>
        </w:rPr>
        <w:t xml:space="preserve"> </w:t>
      </w:r>
      <w:r w:rsidRPr="00C36E99">
        <w:rPr>
          <w:sz w:val="24"/>
          <w:szCs w:val="24"/>
        </w:rPr>
        <w:t>Trent’</w:t>
      </w:r>
      <w:r w:rsidR="005B1BEC" w:rsidRPr="00C36E99">
        <w:rPr>
          <w:bCs/>
          <w:sz w:val="24"/>
          <w:szCs w:val="24"/>
        </w:rPr>
        <w:t>s</w:t>
      </w:r>
      <w:r w:rsidRPr="00C36E99">
        <w:rPr>
          <w:sz w:val="24"/>
          <w:szCs w:val="24"/>
        </w:rPr>
        <w:t xml:space="preserve"> Presidential Advisory Council on Human Rights, Equity and Accessibility</w:t>
      </w:r>
      <w:r w:rsidR="000D1240">
        <w:rPr>
          <w:sz w:val="24"/>
          <w:szCs w:val="24"/>
        </w:rPr>
        <w:t xml:space="preserve"> (PACHREA)</w:t>
      </w:r>
      <w:r w:rsidRPr="00C36E99">
        <w:rPr>
          <w:sz w:val="24"/>
          <w:szCs w:val="24"/>
        </w:rPr>
        <w:t>, including its Accessibility Subcommittee</w:t>
      </w:r>
      <w:r w:rsidR="000D1240">
        <w:rPr>
          <w:sz w:val="24"/>
          <w:szCs w:val="24"/>
        </w:rPr>
        <w:t xml:space="preserve"> will be consulted, as will additional</w:t>
      </w:r>
      <w:r w:rsidR="00DA02E4" w:rsidRPr="00C36E99">
        <w:rPr>
          <w:sz w:val="24"/>
          <w:szCs w:val="24"/>
        </w:rPr>
        <w:t xml:space="preserve"> stakeholder groups as</w:t>
      </w:r>
      <w:r w:rsidR="006C3F2C">
        <w:rPr>
          <w:sz w:val="24"/>
          <w:szCs w:val="24"/>
        </w:rPr>
        <w:t xml:space="preserve"> </w:t>
      </w:r>
      <w:r w:rsidR="00DA02E4" w:rsidRPr="00C36E99">
        <w:rPr>
          <w:sz w:val="24"/>
          <w:szCs w:val="24"/>
        </w:rPr>
        <w:t xml:space="preserve">appropriate. </w:t>
      </w:r>
    </w:p>
    <w:p w14:paraId="01C472C1" w14:textId="77777777" w:rsidR="001E352A" w:rsidRPr="00196E85" w:rsidRDefault="001E352A" w:rsidP="00196E85">
      <w:pPr>
        <w:pStyle w:val="Heading30"/>
        <w:rPr>
          <w:sz w:val="24"/>
          <w:szCs w:val="24"/>
          <w:u w:val="none"/>
        </w:rPr>
      </w:pPr>
      <w:bookmarkStart w:id="5" w:name="_Toc92713683"/>
      <w:r w:rsidRPr="007B2E22">
        <w:rPr>
          <w:sz w:val="24"/>
          <w:szCs w:val="24"/>
          <w:u w:val="none"/>
        </w:rPr>
        <w:t>AODA Compliance</w:t>
      </w:r>
      <w:r w:rsidR="003742F8" w:rsidRPr="007B2E22">
        <w:rPr>
          <w:sz w:val="24"/>
          <w:szCs w:val="24"/>
          <w:u w:val="none"/>
        </w:rPr>
        <w:t xml:space="preserve"> Report</w:t>
      </w:r>
      <w:bookmarkEnd w:id="5"/>
      <w:r w:rsidR="003742F8" w:rsidRPr="00196E85">
        <w:rPr>
          <w:sz w:val="24"/>
          <w:szCs w:val="24"/>
          <w:u w:val="none"/>
        </w:rPr>
        <w:t xml:space="preserve"> </w:t>
      </w:r>
    </w:p>
    <w:p w14:paraId="4E83FC4A" w14:textId="612DF645" w:rsidR="00910AE2" w:rsidRPr="00F76717" w:rsidRDefault="008C2804" w:rsidP="00AF237D">
      <w:pPr>
        <w:autoSpaceDE w:val="0"/>
        <w:autoSpaceDN w:val="0"/>
        <w:adjustRightInd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Under</w:t>
      </w:r>
      <w:r w:rsidR="00CA3CA8">
        <w:rPr>
          <w:sz w:val="24"/>
          <w:szCs w:val="24"/>
        </w:rPr>
        <w:t xml:space="preserve"> </w:t>
      </w:r>
      <w:r w:rsidR="000D1240">
        <w:rPr>
          <w:sz w:val="24"/>
          <w:szCs w:val="24"/>
        </w:rPr>
        <w:t>AODA</w:t>
      </w:r>
      <w:r>
        <w:rPr>
          <w:sz w:val="24"/>
          <w:szCs w:val="24"/>
        </w:rPr>
        <w:t xml:space="preserve"> legislation, public sector organizations must report to the Accessibility Directorate of Ontario (ADO) every two years. Trent was required to file </w:t>
      </w:r>
      <w:r w:rsidR="00F76717">
        <w:rPr>
          <w:sz w:val="24"/>
          <w:szCs w:val="24"/>
        </w:rPr>
        <w:t>its most recent</w:t>
      </w:r>
      <w:r>
        <w:rPr>
          <w:sz w:val="24"/>
          <w:szCs w:val="24"/>
        </w:rPr>
        <w:t xml:space="preserve"> compliance report by December 31, 20</w:t>
      </w:r>
      <w:r w:rsidR="00584AFA">
        <w:rPr>
          <w:sz w:val="24"/>
          <w:szCs w:val="24"/>
        </w:rPr>
        <w:t>21</w:t>
      </w:r>
      <w:r>
        <w:rPr>
          <w:sz w:val="24"/>
          <w:szCs w:val="24"/>
        </w:rPr>
        <w:t xml:space="preserve">. The report was filed on </w:t>
      </w:r>
      <w:r w:rsidRPr="007B2E22">
        <w:rPr>
          <w:sz w:val="24"/>
          <w:szCs w:val="24"/>
        </w:rPr>
        <w:t>December 1</w:t>
      </w:r>
      <w:r w:rsidR="00AF237D" w:rsidRPr="007B2E22">
        <w:rPr>
          <w:sz w:val="24"/>
          <w:szCs w:val="24"/>
        </w:rPr>
        <w:t>0, 20</w:t>
      </w:r>
      <w:r w:rsidR="00584AFA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584AFA">
        <w:rPr>
          <w:sz w:val="24"/>
          <w:szCs w:val="24"/>
        </w:rPr>
        <w:t>Trent reporte</w:t>
      </w:r>
      <w:r w:rsidR="00803AA1">
        <w:rPr>
          <w:sz w:val="24"/>
          <w:szCs w:val="24"/>
        </w:rPr>
        <w:t>d</w:t>
      </w:r>
      <w:r w:rsidR="00584AFA">
        <w:rPr>
          <w:sz w:val="24"/>
          <w:szCs w:val="24"/>
        </w:rPr>
        <w:t xml:space="preserve"> full complian</w:t>
      </w:r>
      <w:r w:rsidR="00C7136F">
        <w:rPr>
          <w:sz w:val="24"/>
          <w:szCs w:val="24"/>
        </w:rPr>
        <w:t>ce</w:t>
      </w:r>
      <w:r w:rsidR="00584AFA">
        <w:rPr>
          <w:sz w:val="24"/>
          <w:szCs w:val="24"/>
        </w:rPr>
        <w:t xml:space="preserve"> with requirements </w:t>
      </w:r>
      <w:r w:rsidR="009F4B07">
        <w:rPr>
          <w:sz w:val="24"/>
          <w:szCs w:val="24"/>
        </w:rPr>
        <w:t>as</w:t>
      </w:r>
      <w:r w:rsidR="00803AA1">
        <w:rPr>
          <w:sz w:val="24"/>
          <w:szCs w:val="24"/>
        </w:rPr>
        <w:t xml:space="preserve"> </w:t>
      </w:r>
      <w:r w:rsidR="009F4B07">
        <w:rPr>
          <w:sz w:val="24"/>
          <w:szCs w:val="24"/>
        </w:rPr>
        <w:t xml:space="preserve">outlined in the report. </w:t>
      </w:r>
    </w:p>
    <w:p w14:paraId="38727B73" w14:textId="77777777" w:rsidR="007624CD" w:rsidRPr="00196E85" w:rsidRDefault="00196E85" w:rsidP="00196E85">
      <w:pPr>
        <w:pStyle w:val="Heading30"/>
        <w:rPr>
          <w:sz w:val="24"/>
          <w:szCs w:val="24"/>
          <w:u w:val="none"/>
          <w:lang w:val="en-US"/>
        </w:rPr>
      </w:pPr>
      <w:bookmarkStart w:id="6" w:name="_Toc92713684"/>
      <w:r w:rsidRPr="00196E85">
        <w:rPr>
          <w:sz w:val="24"/>
          <w:szCs w:val="24"/>
          <w:u w:val="none"/>
          <w:lang w:val="en-US"/>
        </w:rPr>
        <w:t xml:space="preserve">IASR Section 7 </w:t>
      </w:r>
      <w:r w:rsidR="007624CD" w:rsidRPr="00196E85">
        <w:rPr>
          <w:sz w:val="24"/>
          <w:szCs w:val="24"/>
          <w:u w:val="none"/>
          <w:lang w:val="en-US"/>
        </w:rPr>
        <w:t>– Training</w:t>
      </w:r>
      <w:bookmarkEnd w:id="6"/>
    </w:p>
    <w:p w14:paraId="7F65E9B2" w14:textId="6310D549" w:rsidR="00C943A4" w:rsidRPr="0015740F" w:rsidRDefault="007624CD" w:rsidP="0015740F">
      <w:pPr>
        <w:spacing w:after="100" w:afterAutospacing="1"/>
        <w:rPr>
          <w:rFonts w:cs="Arial"/>
          <w:color w:val="000000"/>
          <w:sz w:val="24"/>
          <w:szCs w:val="24"/>
          <w:lang w:val="en-US"/>
        </w:rPr>
      </w:pPr>
      <w:r w:rsidRPr="00293EBC">
        <w:rPr>
          <w:rFonts w:cs="Arial"/>
          <w:color w:val="000000"/>
          <w:sz w:val="24"/>
          <w:szCs w:val="24"/>
          <w:lang w:val="en-US"/>
        </w:rPr>
        <w:t xml:space="preserve">Trent continues to offer training on the </w:t>
      </w:r>
      <w:r w:rsidR="00746EC6" w:rsidRPr="00293EBC">
        <w:rPr>
          <w:rFonts w:cs="Arial"/>
          <w:color w:val="000000"/>
          <w:sz w:val="24"/>
          <w:szCs w:val="24"/>
          <w:lang w:val="en-US"/>
        </w:rPr>
        <w:t>IASR,</w:t>
      </w:r>
      <w:r w:rsidRPr="00293EBC">
        <w:rPr>
          <w:rFonts w:cs="Arial"/>
          <w:color w:val="000000"/>
          <w:sz w:val="24"/>
          <w:szCs w:val="24"/>
          <w:lang w:val="en-US"/>
        </w:rPr>
        <w:t xml:space="preserve"> and Ontario Human Rights Code </w:t>
      </w:r>
      <w:r w:rsidR="006F2760" w:rsidRPr="00293EBC">
        <w:rPr>
          <w:rFonts w:cs="Arial"/>
          <w:color w:val="000000"/>
          <w:sz w:val="24"/>
          <w:szCs w:val="24"/>
          <w:lang w:val="en-US"/>
        </w:rPr>
        <w:t>as required by this</w:t>
      </w:r>
      <w:r w:rsidR="00293EBC" w:rsidRPr="00293EBC">
        <w:rPr>
          <w:rFonts w:cs="Arial"/>
          <w:color w:val="000000"/>
          <w:sz w:val="24"/>
          <w:szCs w:val="24"/>
          <w:lang w:val="en-US"/>
        </w:rPr>
        <w:t xml:space="preserve"> sec</w:t>
      </w:r>
      <w:r w:rsidR="00AF237D">
        <w:rPr>
          <w:rFonts w:cs="Arial"/>
          <w:color w:val="000000"/>
          <w:sz w:val="24"/>
          <w:szCs w:val="24"/>
          <w:lang w:val="en-US"/>
        </w:rPr>
        <w:t>tion of the legislation.</w:t>
      </w:r>
      <w:r w:rsidR="00DA02E4">
        <w:rPr>
          <w:rFonts w:cs="Arial"/>
          <w:color w:val="000000"/>
          <w:sz w:val="24"/>
          <w:szCs w:val="24"/>
          <w:lang w:val="en-US"/>
        </w:rPr>
        <w:t xml:space="preserve"> In 2021, </w:t>
      </w:r>
      <w:r w:rsidR="005B1BEC">
        <w:rPr>
          <w:rFonts w:cs="Arial"/>
          <w:color w:val="000000"/>
          <w:sz w:val="24"/>
          <w:szCs w:val="24"/>
          <w:lang w:val="en-US"/>
        </w:rPr>
        <w:t xml:space="preserve">initial progress was made in moving </w:t>
      </w:r>
      <w:r w:rsidR="00DA02E4">
        <w:rPr>
          <w:rFonts w:cs="Arial"/>
          <w:color w:val="000000"/>
          <w:sz w:val="24"/>
          <w:szCs w:val="24"/>
          <w:lang w:val="en-US"/>
        </w:rPr>
        <w:t>th</w:t>
      </w:r>
      <w:r w:rsidR="00C7136F">
        <w:rPr>
          <w:rFonts w:cs="Arial"/>
          <w:color w:val="000000"/>
          <w:sz w:val="24"/>
          <w:szCs w:val="24"/>
          <w:lang w:val="en-US"/>
        </w:rPr>
        <w:t>ese training records, as part of</w:t>
      </w:r>
      <w:r w:rsidR="00DA02E4">
        <w:rPr>
          <w:rFonts w:cs="Arial"/>
          <w:color w:val="000000"/>
          <w:sz w:val="24"/>
          <w:szCs w:val="24"/>
          <w:lang w:val="en-US"/>
        </w:rPr>
        <w:t xml:space="preserve"> mandatory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 AODA</w:t>
      </w:r>
      <w:r w:rsidR="00DA02E4">
        <w:rPr>
          <w:rFonts w:cs="Arial"/>
          <w:color w:val="000000"/>
          <w:sz w:val="24"/>
          <w:szCs w:val="24"/>
          <w:lang w:val="en-US"/>
        </w:rPr>
        <w:t xml:space="preserve"> training</w:t>
      </w:r>
      <w:r w:rsidR="00C7136F">
        <w:rPr>
          <w:rFonts w:cs="Arial"/>
          <w:color w:val="000000"/>
          <w:sz w:val="24"/>
          <w:szCs w:val="24"/>
          <w:lang w:val="en-US"/>
        </w:rPr>
        <w:t>,</w:t>
      </w:r>
      <w:r w:rsidR="00DA02E4">
        <w:rPr>
          <w:rFonts w:cs="Arial"/>
          <w:color w:val="000000"/>
          <w:sz w:val="24"/>
          <w:szCs w:val="24"/>
          <w:lang w:val="en-US"/>
        </w:rPr>
        <w:t xml:space="preserve"> to Trent’s</w:t>
      </w:r>
      <w:r w:rsidR="00CA3CA8">
        <w:rPr>
          <w:rFonts w:cs="Arial"/>
          <w:color w:val="000000"/>
          <w:sz w:val="24"/>
          <w:szCs w:val="24"/>
          <w:lang w:val="en-US"/>
        </w:rPr>
        <w:t xml:space="preserve"> Human Resources Information System (HRIS)</w:t>
      </w:r>
      <w:r w:rsidR="00DA02E4">
        <w:rPr>
          <w:rFonts w:cs="Arial"/>
          <w:color w:val="000000"/>
          <w:sz w:val="24"/>
          <w:szCs w:val="24"/>
          <w:lang w:val="en-US"/>
        </w:rPr>
        <w:t xml:space="preserve">. The HRIS will primarily house 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current employee training records. </w:t>
      </w:r>
    </w:p>
    <w:p w14:paraId="062706FE" w14:textId="59D126E4" w:rsidR="000A5744" w:rsidRPr="006B16A7" w:rsidRDefault="00196E85" w:rsidP="006B16A7">
      <w:pPr>
        <w:pStyle w:val="Heading30"/>
        <w:rPr>
          <w:sz w:val="24"/>
          <w:szCs w:val="24"/>
          <w:u w:val="none"/>
          <w:lang w:val="en-US"/>
        </w:rPr>
      </w:pPr>
      <w:bookmarkStart w:id="7" w:name="_Toc92713685"/>
      <w:r w:rsidRPr="002A45A2">
        <w:rPr>
          <w:sz w:val="24"/>
          <w:szCs w:val="24"/>
          <w:u w:val="none"/>
          <w:lang w:val="en-US"/>
        </w:rPr>
        <w:t>IASR Section 14</w:t>
      </w:r>
      <w:r w:rsidR="000A5744" w:rsidRPr="002A45A2">
        <w:rPr>
          <w:sz w:val="24"/>
          <w:szCs w:val="24"/>
          <w:u w:val="none"/>
          <w:lang w:val="en-US"/>
        </w:rPr>
        <w:t xml:space="preserve"> – Accessible Websites and Web Content</w:t>
      </w:r>
      <w:bookmarkEnd w:id="7"/>
    </w:p>
    <w:p w14:paraId="60D0B675" w14:textId="4865C3EF" w:rsidR="00457DA0" w:rsidRPr="00C36E99" w:rsidRDefault="004C0409" w:rsidP="00457DA0">
      <w:pPr>
        <w:rPr>
          <w:color w:val="000000"/>
          <w:sz w:val="24"/>
          <w:szCs w:val="24"/>
        </w:rPr>
      </w:pPr>
      <w:r w:rsidRPr="00C36E99">
        <w:rPr>
          <w:color w:val="000000"/>
          <w:sz w:val="24"/>
          <w:szCs w:val="24"/>
        </w:rPr>
        <w:t>As of January 1, 2021</w:t>
      </w:r>
      <w:r w:rsidR="00C36E99">
        <w:rPr>
          <w:color w:val="000000"/>
          <w:sz w:val="24"/>
          <w:szCs w:val="24"/>
        </w:rPr>
        <w:t>,</w:t>
      </w:r>
      <w:r w:rsidRPr="00C36E99">
        <w:rPr>
          <w:color w:val="000000"/>
          <w:sz w:val="24"/>
          <w:szCs w:val="24"/>
        </w:rPr>
        <w:t xml:space="preserve"> Trent was required to meet the Web Content Accessibility Guidelines (WCAG) 2.0 </w:t>
      </w:r>
      <w:r w:rsidR="00F928EA">
        <w:rPr>
          <w:color w:val="000000"/>
          <w:sz w:val="24"/>
          <w:szCs w:val="24"/>
        </w:rPr>
        <w:t>l</w:t>
      </w:r>
      <w:r w:rsidRPr="00C36E99">
        <w:rPr>
          <w:color w:val="000000"/>
          <w:sz w:val="24"/>
          <w:szCs w:val="24"/>
        </w:rPr>
        <w:t xml:space="preserve">evel AA </w:t>
      </w:r>
      <w:r w:rsidR="00D01B2B" w:rsidRPr="00C36E99">
        <w:rPr>
          <w:color w:val="000000"/>
          <w:sz w:val="24"/>
          <w:szCs w:val="24"/>
        </w:rPr>
        <w:t>criteria</w:t>
      </w:r>
      <w:r w:rsidRPr="00C36E99">
        <w:rPr>
          <w:color w:val="000000"/>
          <w:sz w:val="24"/>
          <w:szCs w:val="24"/>
        </w:rPr>
        <w:t xml:space="preserve"> with exceptions to specific WCAG criteria related to live captioning and descriptive video. Trent </w:t>
      </w:r>
      <w:r w:rsidR="00A84DBF">
        <w:rPr>
          <w:color w:val="000000"/>
          <w:sz w:val="24"/>
          <w:szCs w:val="24"/>
        </w:rPr>
        <w:t>has</w:t>
      </w:r>
      <w:r w:rsidR="000D1240">
        <w:rPr>
          <w:color w:val="000000"/>
          <w:sz w:val="24"/>
          <w:szCs w:val="24"/>
        </w:rPr>
        <w:t xml:space="preserve"> (and will continue</w:t>
      </w:r>
      <w:r w:rsidR="00A84DBF">
        <w:rPr>
          <w:color w:val="000000"/>
          <w:sz w:val="24"/>
          <w:szCs w:val="24"/>
        </w:rPr>
        <w:t xml:space="preserve"> to</w:t>
      </w:r>
      <w:r w:rsidR="000D1240">
        <w:rPr>
          <w:color w:val="000000"/>
          <w:sz w:val="24"/>
          <w:szCs w:val="24"/>
        </w:rPr>
        <w:t>)</w:t>
      </w:r>
      <w:r w:rsidRPr="00C36E99">
        <w:rPr>
          <w:color w:val="000000"/>
          <w:sz w:val="24"/>
          <w:szCs w:val="24"/>
        </w:rPr>
        <w:t xml:space="preserve"> implement practices to comply with </w:t>
      </w:r>
      <w:r w:rsidR="00D01B2B" w:rsidRPr="00C36E99">
        <w:rPr>
          <w:color w:val="000000"/>
          <w:sz w:val="24"/>
          <w:szCs w:val="24"/>
        </w:rPr>
        <w:t xml:space="preserve">WCAG criteria </w:t>
      </w:r>
      <w:r w:rsidR="00F928EA">
        <w:rPr>
          <w:color w:val="000000"/>
          <w:sz w:val="24"/>
          <w:szCs w:val="24"/>
        </w:rPr>
        <w:t>l</w:t>
      </w:r>
      <w:r w:rsidR="00D01B2B" w:rsidRPr="00C36E99">
        <w:rPr>
          <w:color w:val="000000"/>
          <w:sz w:val="24"/>
          <w:szCs w:val="24"/>
        </w:rPr>
        <w:t>evel A and AA, which</w:t>
      </w:r>
      <w:r w:rsidRPr="00C36E99">
        <w:rPr>
          <w:color w:val="000000"/>
          <w:sz w:val="24"/>
          <w:szCs w:val="24"/>
        </w:rPr>
        <w:t xml:space="preserve"> </w:t>
      </w:r>
      <w:r w:rsidR="00457DA0" w:rsidRPr="00C36E99">
        <w:rPr>
          <w:color w:val="000000"/>
          <w:sz w:val="24"/>
          <w:szCs w:val="24"/>
        </w:rPr>
        <w:t xml:space="preserve">include: </w:t>
      </w:r>
    </w:p>
    <w:p w14:paraId="41F48BA8" w14:textId="6EA6C232" w:rsidR="00457DA0" w:rsidRPr="00C36E99" w:rsidRDefault="00D01B2B" w:rsidP="00457DA0">
      <w:pPr>
        <w:numPr>
          <w:ilvl w:val="0"/>
          <w:numId w:val="24"/>
        </w:numPr>
        <w:rPr>
          <w:color w:val="000000"/>
          <w:sz w:val="24"/>
          <w:szCs w:val="24"/>
        </w:rPr>
      </w:pPr>
      <w:r w:rsidRPr="00C36E99">
        <w:rPr>
          <w:color w:val="000000"/>
          <w:sz w:val="24"/>
          <w:szCs w:val="24"/>
        </w:rPr>
        <w:t xml:space="preserve">Use of </w:t>
      </w:r>
      <w:proofErr w:type="spellStart"/>
      <w:r w:rsidRPr="00C36E99">
        <w:rPr>
          <w:color w:val="000000"/>
          <w:sz w:val="24"/>
          <w:szCs w:val="24"/>
        </w:rPr>
        <w:t>SiteImprove</w:t>
      </w:r>
      <w:proofErr w:type="spellEnd"/>
      <w:r w:rsidR="000D1240">
        <w:rPr>
          <w:color w:val="000000"/>
          <w:sz w:val="24"/>
          <w:szCs w:val="24"/>
        </w:rPr>
        <w:t>, web governance software,</w:t>
      </w:r>
      <w:r w:rsidRPr="00C36E99">
        <w:rPr>
          <w:color w:val="000000"/>
          <w:sz w:val="24"/>
          <w:szCs w:val="24"/>
        </w:rPr>
        <w:t xml:space="preserve"> to monitor accessibility </w:t>
      </w:r>
      <w:r w:rsidR="00A84DBF">
        <w:rPr>
          <w:color w:val="000000"/>
          <w:sz w:val="24"/>
          <w:szCs w:val="24"/>
        </w:rPr>
        <w:t>of websites.</w:t>
      </w:r>
      <w:r w:rsidRPr="00C36E99">
        <w:rPr>
          <w:color w:val="000000"/>
          <w:sz w:val="24"/>
          <w:szCs w:val="24"/>
        </w:rPr>
        <w:t xml:space="preserve"> </w:t>
      </w:r>
    </w:p>
    <w:p w14:paraId="5D9E8E1C" w14:textId="18D72CE3" w:rsidR="00457DA0" w:rsidRPr="00C36E99" w:rsidRDefault="00D01B2B" w:rsidP="00457DA0">
      <w:pPr>
        <w:numPr>
          <w:ilvl w:val="0"/>
          <w:numId w:val="24"/>
        </w:numPr>
        <w:rPr>
          <w:color w:val="000000"/>
        </w:rPr>
      </w:pPr>
      <w:r w:rsidRPr="00C36E99">
        <w:rPr>
          <w:color w:val="000000"/>
          <w:sz w:val="24"/>
          <w:szCs w:val="24"/>
        </w:rPr>
        <w:t xml:space="preserve">Continued training for web content contributors on creating and maintaining accessible web content and documents. </w:t>
      </w:r>
    </w:p>
    <w:p w14:paraId="16B85C84" w14:textId="0741F4E2" w:rsidR="00A4327B" w:rsidRPr="00A4327B" w:rsidRDefault="00A4327B" w:rsidP="00A4327B">
      <w:pPr>
        <w:numPr>
          <w:ilvl w:val="0"/>
          <w:numId w:val="24"/>
        </w:numPr>
        <w:rPr>
          <w:color w:val="000000"/>
        </w:rPr>
      </w:pPr>
      <w:r>
        <w:rPr>
          <w:color w:val="000000"/>
          <w:sz w:val="24"/>
          <w:szCs w:val="24"/>
        </w:rPr>
        <w:t xml:space="preserve">In 2021, the </w:t>
      </w:r>
      <w:r w:rsidR="00D01B2B" w:rsidRPr="00C36E99">
        <w:rPr>
          <w:color w:val="000000"/>
          <w:sz w:val="24"/>
          <w:szCs w:val="24"/>
        </w:rPr>
        <w:t xml:space="preserve">Communications </w:t>
      </w:r>
      <w:r>
        <w:rPr>
          <w:color w:val="000000"/>
          <w:sz w:val="24"/>
          <w:szCs w:val="24"/>
        </w:rPr>
        <w:t>Department worked extensively to address</w:t>
      </w:r>
      <w:r w:rsidR="00F928EA">
        <w:rPr>
          <w:color w:val="000000"/>
          <w:sz w:val="24"/>
          <w:szCs w:val="24"/>
        </w:rPr>
        <w:t xml:space="preserve"> WCAG</w:t>
      </w:r>
      <w:r w:rsidR="00D01B2B" w:rsidRPr="00C36E99">
        <w:rPr>
          <w:color w:val="000000"/>
          <w:sz w:val="24"/>
          <w:szCs w:val="24"/>
        </w:rPr>
        <w:t xml:space="preserve"> </w:t>
      </w:r>
      <w:r w:rsidR="00F928EA">
        <w:rPr>
          <w:color w:val="000000"/>
          <w:sz w:val="24"/>
          <w:szCs w:val="24"/>
        </w:rPr>
        <w:t>l</w:t>
      </w:r>
      <w:r w:rsidR="00D01B2B" w:rsidRPr="00C36E99">
        <w:rPr>
          <w:color w:val="000000"/>
          <w:sz w:val="24"/>
          <w:szCs w:val="24"/>
        </w:rPr>
        <w:t>evel AA</w:t>
      </w:r>
      <w:r w:rsidR="00C36E99">
        <w:rPr>
          <w:color w:val="000000"/>
          <w:sz w:val="24"/>
          <w:szCs w:val="24"/>
        </w:rPr>
        <w:t xml:space="preserve"> issues related to the Drupal template</w:t>
      </w:r>
      <w:r w:rsidR="00564F6E">
        <w:rPr>
          <w:color w:val="000000"/>
          <w:sz w:val="24"/>
          <w:szCs w:val="24"/>
        </w:rPr>
        <w:t xml:space="preserve"> </w:t>
      </w:r>
      <w:proofErr w:type="gramStart"/>
      <w:r w:rsidR="00564F6E">
        <w:rPr>
          <w:color w:val="000000"/>
          <w:sz w:val="24"/>
          <w:szCs w:val="24"/>
        </w:rPr>
        <w:t>and;</w:t>
      </w:r>
      <w:proofErr w:type="gramEnd"/>
    </w:p>
    <w:p w14:paraId="763C5070" w14:textId="0B5DEE35" w:rsidR="00D01B2B" w:rsidRPr="00A4327B" w:rsidRDefault="00564F6E" w:rsidP="00A4327B">
      <w:pPr>
        <w:numPr>
          <w:ilvl w:val="0"/>
          <w:numId w:val="24"/>
        </w:numPr>
        <w:spacing w:after="240"/>
        <w:rPr>
          <w:color w:val="000000"/>
        </w:rPr>
      </w:pPr>
      <w:r>
        <w:rPr>
          <w:color w:val="000000"/>
          <w:sz w:val="24"/>
          <w:szCs w:val="24"/>
        </w:rPr>
        <w:t>T</w:t>
      </w:r>
      <w:r w:rsidR="00A4327B">
        <w:rPr>
          <w:color w:val="000000"/>
          <w:sz w:val="24"/>
          <w:szCs w:val="24"/>
        </w:rPr>
        <w:t>he Communications Department continues</w:t>
      </w:r>
      <w:r w:rsidR="00F928EA">
        <w:rPr>
          <w:color w:val="000000"/>
          <w:sz w:val="24"/>
          <w:szCs w:val="24"/>
        </w:rPr>
        <w:t xml:space="preserve"> </w:t>
      </w:r>
      <w:r w:rsidR="00D01B2B" w:rsidRPr="00A4327B">
        <w:rPr>
          <w:color w:val="000000"/>
          <w:sz w:val="24"/>
          <w:szCs w:val="24"/>
        </w:rPr>
        <w:t>to address accessibility impacts of third-party widgets.</w:t>
      </w:r>
    </w:p>
    <w:p w14:paraId="19A21454" w14:textId="44342F3B" w:rsidR="00720781" w:rsidRPr="00765CED" w:rsidRDefault="00720781" w:rsidP="00765CED">
      <w:pPr>
        <w:pStyle w:val="Heading30"/>
        <w:rPr>
          <w:sz w:val="24"/>
          <w:szCs w:val="24"/>
          <w:u w:val="none"/>
        </w:rPr>
      </w:pPr>
      <w:bookmarkStart w:id="8" w:name="_Toc92713686"/>
      <w:r w:rsidRPr="00765CED">
        <w:rPr>
          <w:rFonts w:cs="Arial"/>
          <w:color w:val="000000"/>
          <w:sz w:val="24"/>
          <w:szCs w:val="24"/>
          <w:u w:val="none"/>
          <w:lang w:val="en-US"/>
        </w:rPr>
        <w:lastRenderedPageBreak/>
        <w:t xml:space="preserve">IASR </w:t>
      </w:r>
      <w:r w:rsidRPr="00765CED">
        <w:rPr>
          <w:sz w:val="24"/>
          <w:szCs w:val="24"/>
          <w:u w:val="none"/>
          <w:lang w:val="en-US"/>
        </w:rPr>
        <w:t>Section 15 – Educational and Training Resources and Materials</w:t>
      </w:r>
      <w:bookmarkEnd w:id="8"/>
    </w:p>
    <w:p w14:paraId="179ECC87" w14:textId="0EA981DF" w:rsidR="00720781" w:rsidRPr="0015740F" w:rsidRDefault="007B2105" w:rsidP="0015740F">
      <w:pPr>
        <w:spacing w:after="100" w:afterAutospacing="1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Trent’s many departments and staff continued to work collaboratively in 2021, </w:t>
      </w:r>
      <w:proofErr w:type="gramStart"/>
      <w:r>
        <w:rPr>
          <w:sz w:val="24"/>
          <w:szCs w:val="24"/>
        </w:rPr>
        <w:t>in light of</w:t>
      </w:r>
      <w:proofErr w:type="gramEnd"/>
      <w:r>
        <w:rPr>
          <w:sz w:val="24"/>
          <w:szCs w:val="24"/>
        </w:rPr>
        <w:t xml:space="preserve"> shifting requirements related to the COVID</w:t>
      </w:r>
      <w:r w:rsidR="004D6DC8">
        <w:rPr>
          <w:sz w:val="24"/>
          <w:szCs w:val="24"/>
        </w:rPr>
        <w:t>-19</w:t>
      </w:r>
      <w:r>
        <w:rPr>
          <w:sz w:val="24"/>
          <w:szCs w:val="24"/>
        </w:rPr>
        <w:t xml:space="preserve"> pandemic, to provide academic environments that were safe and met student</w:t>
      </w:r>
      <w:r w:rsidR="00A4327B">
        <w:rPr>
          <w:sz w:val="24"/>
          <w:szCs w:val="24"/>
        </w:rPr>
        <w:t xml:space="preserve"> learning</w:t>
      </w:r>
      <w:r>
        <w:rPr>
          <w:sz w:val="24"/>
          <w:szCs w:val="24"/>
        </w:rPr>
        <w:t xml:space="preserve"> needs.</w:t>
      </w:r>
      <w:r w:rsidR="00C36E99">
        <w:rPr>
          <w:sz w:val="24"/>
          <w:szCs w:val="24"/>
        </w:rPr>
        <w:t xml:space="preserve"> </w:t>
      </w:r>
      <w:r w:rsidR="000C1869">
        <w:rPr>
          <w:sz w:val="24"/>
          <w:szCs w:val="24"/>
        </w:rPr>
        <w:t>Trent’s Information Technology and Student Accessibility Services Departments worked to develop a comprehensive captioning strategy aimed at promoting universal access</w:t>
      </w:r>
      <w:r w:rsidR="004D6DC8">
        <w:rPr>
          <w:sz w:val="24"/>
          <w:szCs w:val="24"/>
        </w:rPr>
        <w:t>,</w:t>
      </w:r>
      <w:r w:rsidR="00AB13E9">
        <w:rPr>
          <w:sz w:val="24"/>
          <w:szCs w:val="24"/>
        </w:rPr>
        <w:t xml:space="preserve"> as many </w:t>
      </w:r>
      <w:r w:rsidR="000C1869">
        <w:rPr>
          <w:sz w:val="24"/>
          <w:szCs w:val="24"/>
        </w:rPr>
        <w:t xml:space="preserve">courses </w:t>
      </w:r>
      <w:r w:rsidR="00A4327B">
        <w:rPr>
          <w:sz w:val="24"/>
          <w:szCs w:val="24"/>
        </w:rPr>
        <w:t xml:space="preserve">continued to be offered with </w:t>
      </w:r>
      <w:r w:rsidR="000C1869">
        <w:rPr>
          <w:sz w:val="24"/>
          <w:szCs w:val="24"/>
        </w:rPr>
        <w:t>online</w:t>
      </w:r>
      <w:r w:rsidR="00A4327B">
        <w:rPr>
          <w:sz w:val="24"/>
          <w:szCs w:val="24"/>
        </w:rPr>
        <w:t xml:space="preserve"> options</w:t>
      </w:r>
      <w:r w:rsidR="000C1869">
        <w:rPr>
          <w:sz w:val="24"/>
          <w:szCs w:val="24"/>
        </w:rPr>
        <w:t>.</w:t>
      </w:r>
      <w:r w:rsidR="00A4327B">
        <w:rPr>
          <w:sz w:val="24"/>
          <w:szCs w:val="24"/>
        </w:rPr>
        <w:t xml:space="preserve"> </w:t>
      </w:r>
      <w:r w:rsidR="00A4327B">
        <w:rPr>
          <w:rFonts w:cs="Arial"/>
          <w:color w:val="000000"/>
          <w:sz w:val="24"/>
          <w:szCs w:val="24"/>
        </w:rPr>
        <w:t>Specifically, Z</w:t>
      </w:r>
      <w:r w:rsidR="00015239">
        <w:rPr>
          <w:rFonts w:cs="Arial"/>
          <w:color w:val="000000"/>
          <w:sz w:val="24"/>
          <w:szCs w:val="24"/>
        </w:rPr>
        <w:t>oom</w:t>
      </w:r>
      <w:r w:rsidR="00A4327B">
        <w:rPr>
          <w:rFonts w:cs="Arial"/>
          <w:color w:val="000000"/>
          <w:sz w:val="24"/>
          <w:szCs w:val="24"/>
        </w:rPr>
        <w:t>,</w:t>
      </w:r>
      <w:r w:rsidR="00015239">
        <w:rPr>
          <w:rFonts w:cs="Arial"/>
          <w:color w:val="000000"/>
          <w:sz w:val="24"/>
          <w:szCs w:val="24"/>
        </w:rPr>
        <w:t xml:space="preserve"> </w:t>
      </w:r>
      <w:r w:rsidR="00A4327B">
        <w:rPr>
          <w:rFonts w:cs="Arial"/>
          <w:color w:val="000000"/>
          <w:sz w:val="24"/>
          <w:szCs w:val="24"/>
        </w:rPr>
        <w:t xml:space="preserve">which was </w:t>
      </w:r>
      <w:r w:rsidR="00015239">
        <w:rPr>
          <w:rFonts w:cs="Arial"/>
          <w:color w:val="000000"/>
          <w:sz w:val="24"/>
          <w:szCs w:val="24"/>
        </w:rPr>
        <w:t>available with</w:t>
      </w:r>
      <w:r w:rsidR="00015239" w:rsidRPr="00015239">
        <w:rPr>
          <w:rFonts w:cs="Arial"/>
          <w:color w:val="000000"/>
          <w:sz w:val="24"/>
          <w:szCs w:val="24"/>
        </w:rPr>
        <w:t xml:space="preserve"> integrated (aut</w:t>
      </w:r>
      <w:r w:rsidR="00015239">
        <w:rPr>
          <w:rFonts w:cs="Arial"/>
          <w:color w:val="000000"/>
          <w:sz w:val="24"/>
          <w:szCs w:val="24"/>
        </w:rPr>
        <w:t>omated) captioning</w:t>
      </w:r>
      <w:r w:rsidR="00A4327B">
        <w:rPr>
          <w:rFonts w:cs="Arial"/>
          <w:color w:val="000000"/>
          <w:sz w:val="24"/>
          <w:szCs w:val="24"/>
        </w:rPr>
        <w:t xml:space="preserve"> </w:t>
      </w:r>
      <w:r w:rsidR="00015239">
        <w:rPr>
          <w:rFonts w:cs="Arial"/>
          <w:color w:val="000000"/>
          <w:sz w:val="24"/>
          <w:szCs w:val="24"/>
        </w:rPr>
        <w:t>through the menu settings in Trent Zoom accounts</w:t>
      </w:r>
      <w:r w:rsidR="00AB13E9">
        <w:rPr>
          <w:rFonts w:cs="Arial"/>
          <w:color w:val="000000"/>
          <w:sz w:val="24"/>
          <w:szCs w:val="24"/>
        </w:rPr>
        <w:t>,</w:t>
      </w:r>
      <w:r w:rsidR="00A4327B">
        <w:rPr>
          <w:rFonts w:cs="Arial"/>
          <w:color w:val="000000"/>
          <w:sz w:val="24"/>
          <w:szCs w:val="24"/>
        </w:rPr>
        <w:t xml:space="preserve"> </w:t>
      </w:r>
      <w:r w:rsidR="00AB13E9">
        <w:rPr>
          <w:rFonts w:cs="Arial"/>
          <w:color w:val="000000"/>
          <w:sz w:val="24"/>
          <w:szCs w:val="24"/>
        </w:rPr>
        <w:t xml:space="preserve">became a default feature in January 2021 for all trentu.ca account holders. </w:t>
      </w:r>
    </w:p>
    <w:p w14:paraId="00DF026B" w14:textId="3A7A964F" w:rsidR="00720781" w:rsidRDefault="00720781" w:rsidP="00720781">
      <w:pPr>
        <w:pStyle w:val="Heading30"/>
        <w:rPr>
          <w:sz w:val="24"/>
          <w:szCs w:val="24"/>
          <w:u w:val="none"/>
          <w:lang w:val="en-US"/>
        </w:rPr>
      </w:pPr>
      <w:bookmarkStart w:id="9" w:name="_Toc92713687"/>
      <w:r w:rsidRPr="009A59A0">
        <w:rPr>
          <w:rFonts w:cs="Arial"/>
          <w:color w:val="000000"/>
          <w:sz w:val="24"/>
          <w:szCs w:val="24"/>
          <w:u w:val="none"/>
          <w:lang w:val="en-US"/>
        </w:rPr>
        <w:t xml:space="preserve">IASR </w:t>
      </w:r>
      <w:r w:rsidRPr="009A59A0">
        <w:rPr>
          <w:sz w:val="24"/>
          <w:szCs w:val="24"/>
          <w:u w:val="none"/>
          <w:lang w:val="en-US"/>
        </w:rPr>
        <w:t>Section 16 – Training for Educators</w:t>
      </w:r>
      <w:bookmarkEnd w:id="9"/>
      <w:r>
        <w:rPr>
          <w:sz w:val="24"/>
          <w:szCs w:val="24"/>
          <w:u w:val="none"/>
          <w:lang w:val="en-US"/>
        </w:rPr>
        <w:t xml:space="preserve"> </w:t>
      </w:r>
    </w:p>
    <w:p w14:paraId="3BE96CAD" w14:textId="01E194C2" w:rsidR="00BE7EFA" w:rsidRDefault="00A8680A" w:rsidP="00C36E99">
      <w:pPr>
        <w:spacing w:after="100" w:afterAutospacing="1"/>
        <w:rPr>
          <w:rFonts w:cs="Arial"/>
          <w:color w:val="000000"/>
          <w:sz w:val="24"/>
          <w:szCs w:val="24"/>
        </w:rPr>
      </w:pPr>
      <w:r w:rsidRPr="0022267E">
        <w:rPr>
          <w:sz w:val="24"/>
          <w:szCs w:val="24"/>
        </w:rPr>
        <w:t>Trent continues to offer training for educators related to classroom accessibility and meeting students’ needs. This trai</w:t>
      </w:r>
      <w:r w:rsidR="00AF57A5">
        <w:rPr>
          <w:sz w:val="24"/>
          <w:szCs w:val="24"/>
        </w:rPr>
        <w:t>ning resides on Blackboard</w:t>
      </w:r>
      <w:r w:rsidRPr="0022267E">
        <w:rPr>
          <w:sz w:val="24"/>
          <w:szCs w:val="24"/>
        </w:rPr>
        <w:t xml:space="preserve"> and com</w:t>
      </w:r>
      <w:r w:rsidR="000C1869" w:rsidRPr="0022267E">
        <w:rPr>
          <w:sz w:val="24"/>
          <w:szCs w:val="24"/>
        </w:rPr>
        <w:t xml:space="preserve">pletion of training is tracked, </w:t>
      </w:r>
      <w:r w:rsidRPr="0022267E">
        <w:rPr>
          <w:sz w:val="24"/>
          <w:szCs w:val="24"/>
        </w:rPr>
        <w:t>as required</w:t>
      </w:r>
      <w:r w:rsidR="000C1869" w:rsidRPr="0022267E">
        <w:rPr>
          <w:sz w:val="24"/>
          <w:szCs w:val="24"/>
        </w:rPr>
        <w:t xml:space="preserve"> </w:t>
      </w:r>
      <w:r w:rsidRPr="0022267E">
        <w:rPr>
          <w:sz w:val="24"/>
          <w:szCs w:val="24"/>
        </w:rPr>
        <w:t xml:space="preserve">by AODA legislation. 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In 2021, </w:t>
      </w:r>
      <w:r w:rsidR="005B1BEC">
        <w:rPr>
          <w:rFonts w:cs="Arial"/>
          <w:color w:val="000000"/>
          <w:sz w:val="24"/>
          <w:szCs w:val="24"/>
          <w:lang w:val="en-US"/>
        </w:rPr>
        <w:t xml:space="preserve">initial progress was made in </w:t>
      </w:r>
      <w:r w:rsidR="00C7136F">
        <w:rPr>
          <w:rFonts w:cs="Arial"/>
          <w:color w:val="000000"/>
          <w:sz w:val="24"/>
          <w:szCs w:val="24"/>
          <w:lang w:val="en-US"/>
        </w:rPr>
        <w:t>moving these training records, as part of mandatory AODA training, to Trent’s HRIS</w:t>
      </w:r>
      <w:r w:rsidR="00F928EA">
        <w:rPr>
          <w:rFonts w:cs="Arial"/>
          <w:color w:val="000000"/>
          <w:sz w:val="24"/>
          <w:szCs w:val="24"/>
          <w:lang w:val="en-US"/>
        </w:rPr>
        <w:t xml:space="preserve">, which </w:t>
      </w:r>
      <w:r w:rsidR="00C7136F">
        <w:rPr>
          <w:rFonts w:cs="Arial"/>
          <w:color w:val="000000"/>
          <w:sz w:val="24"/>
          <w:szCs w:val="24"/>
          <w:lang w:val="en-US"/>
        </w:rPr>
        <w:t>will primarily house current employee training records</w:t>
      </w:r>
      <w:r w:rsidR="00BE7EFA" w:rsidRPr="00BE7EFA">
        <w:rPr>
          <w:rFonts w:cs="Arial"/>
          <w:color w:val="000000"/>
          <w:sz w:val="24"/>
          <w:szCs w:val="24"/>
        </w:rPr>
        <w:t>.</w:t>
      </w:r>
    </w:p>
    <w:p w14:paraId="14E74C13" w14:textId="434DD1E7" w:rsidR="0019063A" w:rsidRPr="00DB0F44" w:rsidRDefault="00DB0F44" w:rsidP="00DB0F44">
      <w:pPr>
        <w:pStyle w:val="Heading30"/>
        <w:rPr>
          <w:sz w:val="24"/>
          <w:szCs w:val="24"/>
          <w:u w:val="none"/>
          <w:lang w:val="en-US"/>
        </w:rPr>
      </w:pPr>
      <w:bookmarkStart w:id="10" w:name="_Toc92713688"/>
      <w:r w:rsidRPr="00DB0F44">
        <w:rPr>
          <w:sz w:val="24"/>
          <w:szCs w:val="24"/>
          <w:u w:val="none"/>
          <w:lang w:val="en-US"/>
        </w:rPr>
        <w:t xml:space="preserve">IASR </w:t>
      </w:r>
      <w:r>
        <w:rPr>
          <w:sz w:val="24"/>
          <w:szCs w:val="24"/>
          <w:u w:val="none"/>
          <w:lang w:val="en-US"/>
        </w:rPr>
        <w:t>Section 80.1</w:t>
      </w:r>
      <w:r w:rsidR="008548AA" w:rsidRPr="00DB0F44">
        <w:rPr>
          <w:sz w:val="24"/>
          <w:szCs w:val="24"/>
          <w:u w:val="none"/>
          <w:lang w:val="en-US"/>
        </w:rPr>
        <w:t xml:space="preserve"> – 80.44 </w:t>
      </w:r>
      <w:r w:rsidR="0019063A" w:rsidRPr="00DB0F44">
        <w:rPr>
          <w:sz w:val="24"/>
          <w:szCs w:val="24"/>
          <w:u w:val="none"/>
          <w:lang w:val="en-US"/>
        </w:rPr>
        <w:t>Design of Public Spaces Standard</w:t>
      </w:r>
      <w:bookmarkEnd w:id="10"/>
    </w:p>
    <w:p w14:paraId="3CAC1C9E" w14:textId="77777777" w:rsidR="00F97421" w:rsidRDefault="009B1F83" w:rsidP="00C36E99">
      <w:pPr>
        <w:spacing w:after="100" w:afterAutospacing="1"/>
        <w:rPr>
          <w:rFonts w:cs="Arial"/>
          <w:color w:val="000000"/>
          <w:sz w:val="24"/>
          <w:szCs w:val="24"/>
          <w:lang w:val="en-US"/>
        </w:rPr>
      </w:pPr>
      <w:r w:rsidRPr="00A073C2">
        <w:rPr>
          <w:rFonts w:cs="Arial"/>
          <w:color w:val="000000"/>
          <w:sz w:val="24"/>
          <w:szCs w:val="24"/>
          <w:lang w:val="en-US"/>
        </w:rPr>
        <w:t>Facilities Management</w:t>
      </w:r>
      <w:r w:rsidR="006800E6">
        <w:rPr>
          <w:rFonts w:cs="Arial"/>
          <w:color w:val="000000"/>
          <w:sz w:val="24"/>
          <w:szCs w:val="24"/>
          <w:lang w:val="en-US"/>
        </w:rPr>
        <w:t xml:space="preserve"> (FM)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 employs Project Managers with expertise on the Ontario Bui</w:t>
      </w:r>
      <w:r w:rsidR="00362B88">
        <w:rPr>
          <w:rFonts w:cs="Arial"/>
          <w:color w:val="000000"/>
          <w:sz w:val="24"/>
          <w:szCs w:val="24"/>
          <w:lang w:val="en-US"/>
        </w:rPr>
        <w:t>lding Code requirements including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 those related to accessibility. When applicable, as determined by Project Managers, </w:t>
      </w:r>
      <w:r w:rsidR="00F928EA">
        <w:rPr>
          <w:rFonts w:cs="Arial"/>
          <w:color w:val="000000"/>
          <w:sz w:val="24"/>
          <w:szCs w:val="24"/>
          <w:lang w:val="en-US"/>
        </w:rPr>
        <w:t>Centre for Human Rights, Equity and Accessibility (CHREA)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 </w:t>
      </w:r>
      <w:r w:rsidR="007B6A10">
        <w:rPr>
          <w:rFonts w:cs="Arial"/>
          <w:color w:val="000000"/>
          <w:sz w:val="24"/>
          <w:szCs w:val="24"/>
          <w:lang w:val="en-US"/>
        </w:rPr>
        <w:t>staff are</w:t>
      </w:r>
      <w:r w:rsidR="00484D79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consulted on aspects of accessibility, such as </w:t>
      </w:r>
      <w:r w:rsidR="008C6AD9">
        <w:rPr>
          <w:rFonts w:cs="Arial"/>
          <w:color w:val="000000"/>
          <w:sz w:val="24"/>
          <w:szCs w:val="24"/>
          <w:lang w:val="en-US"/>
        </w:rPr>
        <w:t xml:space="preserve">those 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contained in the </w:t>
      </w:r>
      <w:r w:rsidRPr="00122EC0">
        <w:rPr>
          <w:rFonts w:cs="Arial"/>
          <w:color w:val="000000"/>
          <w:sz w:val="24"/>
          <w:szCs w:val="24"/>
          <w:lang w:val="en-US"/>
        </w:rPr>
        <w:t>AODA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 or</w:t>
      </w:r>
      <w:r w:rsidR="00362B88">
        <w:rPr>
          <w:rFonts w:cs="Arial"/>
          <w:color w:val="000000"/>
          <w:sz w:val="24"/>
          <w:szCs w:val="24"/>
          <w:lang w:val="en-US"/>
        </w:rPr>
        <w:t xml:space="preserve"> </w:t>
      </w:r>
      <w:r w:rsidR="00A24433">
        <w:rPr>
          <w:rFonts w:cs="Arial"/>
          <w:color w:val="000000"/>
          <w:sz w:val="24"/>
          <w:szCs w:val="24"/>
          <w:lang w:val="en-US"/>
        </w:rPr>
        <w:t>those</w:t>
      </w:r>
      <w:r w:rsidR="008C6AD9">
        <w:rPr>
          <w:rFonts w:cs="Arial"/>
          <w:color w:val="000000"/>
          <w:sz w:val="24"/>
          <w:szCs w:val="24"/>
          <w:lang w:val="en-US"/>
        </w:rPr>
        <w:t xml:space="preserve"> that </w:t>
      </w:r>
      <w:r w:rsidRPr="00A073C2">
        <w:rPr>
          <w:rFonts w:cs="Arial"/>
          <w:color w:val="000000"/>
          <w:sz w:val="24"/>
          <w:szCs w:val="24"/>
          <w:lang w:val="en-US"/>
        </w:rPr>
        <w:t>may go beyond compliance requirements to include best practice</w:t>
      </w:r>
      <w:r w:rsidR="00A073C2" w:rsidRPr="00A073C2">
        <w:rPr>
          <w:rFonts w:cs="Arial"/>
          <w:color w:val="000000"/>
          <w:sz w:val="24"/>
          <w:szCs w:val="24"/>
          <w:lang w:val="en-US"/>
        </w:rPr>
        <w:t>s</w:t>
      </w:r>
      <w:r w:rsidR="003B071F">
        <w:rPr>
          <w:rFonts w:cs="Arial"/>
          <w:color w:val="000000"/>
          <w:sz w:val="24"/>
          <w:szCs w:val="24"/>
          <w:lang w:val="en-US"/>
        </w:rPr>
        <w:t>.</w:t>
      </w:r>
      <w:r w:rsidR="004B4E10">
        <w:rPr>
          <w:rFonts w:cs="Arial"/>
          <w:color w:val="000000"/>
          <w:sz w:val="24"/>
          <w:szCs w:val="24"/>
          <w:lang w:val="en-US"/>
        </w:rPr>
        <w:t xml:space="preserve"> 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>These processes and partnerships help to ensure that compliance requirements are met and</w:t>
      </w:r>
      <w:r w:rsidR="008C6AD9">
        <w:rPr>
          <w:rFonts w:cs="Arial"/>
          <w:color w:val="000000"/>
          <w:sz w:val="24"/>
          <w:szCs w:val="24"/>
          <w:lang w:val="en-US"/>
        </w:rPr>
        <w:t>,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 xml:space="preserve"> where possib</w:t>
      </w:r>
      <w:r w:rsidR="00A073C2" w:rsidRPr="00A073C2">
        <w:rPr>
          <w:rFonts w:cs="Arial"/>
          <w:color w:val="000000"/>
          <w:sz w:val="24"/>
          <w:szCs w:val="24"/>
          <w:lang w:val="en-US"/>
        </w:rPr>
        <w:t>le</w:t>
      </w:r>
      <w:r w:rsidR="008C6AD9">
        <w:rPr>
          <w:rFonts w:cs="Arial"/>
          <w:color w:val="000000"/>
          <w:sz w:val="24"/>
          <w:szCs w:val="24"/>
          <w:lang w:val="en-US"/>
        </w:rPr>
        <w:t>,</w:t>
      </w:r>
      <w:r w:rsidR="00A073C2" w:rsidRPr="00A073C2">
        <w:rPr>
          <w:rFonts w:cs="Arial"/>
          <w:color w:val="000000"/>
          <w:sz w:val="24"/>
          <w:szCs w:val="24"/>
          <w:lang w:val="en-US"/>
        </w:rPr>
        <w:t xml:space="preserve"> exceeded </w:t>
      </w:r>
      <w:r w:rsidR="00746EC6" w:rsidRPr="00A073C2">
        <w:rPr>
          <w:rFonts w:cs="Arial"/>
          <w:color w:val="000000"/>
          <w:sz w:val="24"/>
          <w:szCs w:val="24"/>
          <w:lang w:val="en-US"/>
        </w:rPr>
        <w:t>to</w:t>
      </w:r>
      <w:r w:rsidR="00A073C2" w:rsidRPr="00A073C2">
        <w:rPr>
          <w:rFonts w:cs="Arial"/>
          <w:color w:val="000000"/>
          <w:sz w:val="24"/>
          <w:szCs w:val="24"/>
          <w:lang w:val="en-US"/>
        </w:rPr>
        <w:t xml:space="preserve"> create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 xml:space="preserve"> inclusive and welcoming space</w:t>
      </w:r>
      <w:r w:rsidR="008C5E10">
        <w:rPr>
          <w:rFonts w:cs="Arial"/>
          <w:color w:val="000000"/>
          <w:sz w:val="24"/>
          <w:szCs w:val="24"/>
          <w:lang w:val="en-US"/>
        </w:rPr>
        <w:t>s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 xml:space="preserve"> for students, fa</w:t>
      </w:r>
      <w:r w:rsidR="008C60C8">
        <w:rPr>
          <w:rFonts w:cs="Arial"/>
          <w:color w:val="000000"/>
          <w:sz w:val="24"/>
          <w:szCs w:val="24"/>
          <w:lang w:val="en-US"/>
        </w:rPr>
        <w:t>cu</w:t>
      </w:r>
      <w:r w:rsidR="00720781">
        <w:rPr>
          <w:rFonts w:cs="Arial"/>
          <w:color w:val="000000"/>
          <w:sz w:val="24"/>
          <w:szCs w:val="24"/>
          <w:lang w:val="en-US"/>
        </w:rPr>
        <w:t xml:space="preserve">lty, </w:t>
      </w:r>
      <w:r w:rsidR="00746EC6">
        <w:rPr>
          <w:rFonts w:cs="Arial"/>
          <w:color w:val="000000"/>
          <w:sz w:val="24"/>
          <w:szCs w:val="24"/>
          <w:lang w:val="en-US"/>
        </w:rPr>
        <w:t>staff,</w:t>
      </w:r>
      <w:r w:rsidR="00720781">
        <w:rPr>
          <w:rFonts w:cs="Arial"/>
          <w:color w:val="000000"/>
          <w:sz w:val="24"/>
          <w:szCs w:val="24"/>
          <w:lang w:val="en-US"/>
        </w:rPr>
        <w:t xml:space="preserve"> and visitors. </w:t>
      </w:r>
    </w:p>
    <w:p w14:paraId="0BCF9125" w14:textId="1D57AB83" w:rsidR="00324A07" w:rsidRPr="00F97421" w:rsidRDefault="004D6DC8" w:rsidP="00C36E99">
      <w:pPr>
        <w:spacing w:after="100" w:afterAutospacing="1"/>
        <w:rPr>
          <w:rFonts w:cs="Arial"/>
          <w:color w:val="000000"/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  <w:lang w:val="en-US"/>
        </w:rPr>
        <w:t>I</w:t>
      </w:r>
      <w:r w:rsidR="00720781">
        <w:rPr>
          <w:rFonts w:cs="Arial"/>
          <w:color w:val="000000"/>
          <w:sz w:val="24"/>
          <w:szCs w:val="24"/>
          <w:lang w:val="en-US"/>
        </w:rPr>
        <w:t>n 202</w:t>
      </w:r>
      <w:r w:rsidR="00C7136F">
        <w:rPr>
          <w:rFonts w:cs="Arial"/>
          <w:color w:val="000000"/>
          <w:sz w:val="24"/>
          <w:szCs w:val="24"/>
          <w:lang w:val="en-US"/>
        </w:rPr>
        <w:t>1</w:t>
      </w:r>
      <w:r w:rsidR="008C60C8">
        <w:rPr>
          <w:rFonts w:cs="Arial"/>
          <w:color w:val="000000"/>
          <w:sz w:val="24"/>
          <w:szCs w:val="24"/>
          <w:lang w:val="en-US"/>
        </w:rPr>
        <w:t>,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 with the anticipation of a return to campus (post-pandemic), CHREA was consulted on three requests that went to</w:t>
      </w:r>
      <w:r w:rsidR="00A4327B">
        <w:rPr>
          <w:rFonts w:cs="Arial"/>
          <w:color w:val="000000"/>
          <w:sz w:val="24"/>
          <w:szCs w:val="24"/>
          <w:lang w:val="en-US"/>
        </w:rPr>
        <w:t xml:space="preserve"> Trent’s </w:t>
      </w:r>
      <w:r w:rsidR="00C7136F">
        <w:rPr>
          <w:rFonts w:cs="Arial"/>
          <w:color w:val="000000"/>
          <w:sz w:val="24"/>
          <w:szCs w:val="24"/>
          <w:lang w:val="en-US"/>
        </w:rPr>
        <w:t>Space Committee. CHREA’s Accessibility Advisor provided accessibility-related input and</w:t>
      </w:r>
      <w:r w:rsidR="00F928EA">
        <w:rPr>
          <w:rFonts w:cs="Arial"/>
          <w:color w:val="000000"/>
          <w:sz w:val="24"/>
          <w:szCs w:val="24"/>
          <w:lang w:val="en-US"/>
        </w:rPr>
        <w:t>,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 where appropriate</w:t>
      </w:r>
      <w:r w:rsidR="00F928EA">
        <w:rPr>
          <w:rFonts w:cs="Arial"/>
          <w:color w:val="000000"/>
          <w:sz w:val="24"/>
          <w:szCs w:val="24"/>
          <w:lang w:val="en-US"/>
        </w:rPr>
        <w:t>,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 suggested further consultation with</w:t>
      </w:r>
      <w:r w:rsidR="005B1BEC">
        <w:rPr>
          <w:rFonts w:cs="Arial"/>
          <w:color w:val="000000"/>
          <w:sz w:val="24"/>
          <w:szCs w:val="24"/>
          <w:lang w:val="en-US"/>
        </w:rPr>
        <w:t xml:space="preserve"> the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 F</w:t>
      </w:r>
      <w:r w:rsidR="00A4327B">
        <w:rPr>
          <w:rFonts w:cs="Arial"/>
          <w:color w:val="000000"/>
          <w:sz w:val="24"/>
          <w:szCs w:val="24"/>
          <w:lang w:val="en-US"/>
        </w:rPr>
        <w:t>M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 department and</w:t>
      </w:r>
      <w:r w:rsidR="00D46F39">
        <w:rPr>
          <w:rFonts w:cs="Arial"/>
          <w:color w:val="000000"/>
          <w:sz w:val="24"/>
          <w:szCs w:val="24"/>
          <w:lang w:val="en-US"/>
        </w:rPr>
        <w:t>/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or with </w:t>
      </w:r>
      <w:r w:rsidR="00D46F39">
        <w:rPr>
          <w:rFonts w:cs="Arial"/>
          <w:color w:val="000000"/>
          <w:sz w:val="24"/>
          <w:szCs w:val="24"/>
          <w:lang w:val="en-US"/>
        </w:rPr>
        <w:t>best practice guides such as Clearing Our Path</w:t>
      </w:r>
      <w:r w:rsidR="00A4327B">
        <w:rPr>
          <w:rFonts w:cs="Arial"/>
          <w:color w:val="000000"/>
          <w:sz w:val="24"/>
          <w:szCs w:val="24"/>
          <w:lang w:val="en-US"/>
        </w:rPr>
        <w:t xml:space="preserve">, a document </w:t>
      </w:r>
      <w:r w:rsidR="00D46F39">
        <w:rPr>
          <w:rFonts w:cs="Arial"/>
          <w:color w:val="000000"/>
          <w:sz w:val="24"/>
          <w:szCs w:val="24"/>
          <w:lang w:val="en-US"/>
        </w:rPr>
        <w:t xml:space="preserve">developed by the CNIB. </w:t>
      </w:r>
    </w:p>
    <w:p w14:paraId="64085F31" w14:textId="779DF0FA" w:rsidR="001B14A9" w:rsidRPr="00C36E99" w:rsidRDefault="00C36E99" w:rsidP="00C36E99">
      <w:pPr>
        <w:pStyle w:val="Heading3"/>
        <w:rPr>
          <w:sz w:val="24"/>
          <w:szCs w:val="24"/>
          <w:u w:val="none"/>
          <w:lang w:val="en-US"/>
        </w:rPr>
      </w:pPr>
      <w:bookmarkStart w:id="11" w:name="_Toc92713689"/>
      <w:r w:rsidRPr="00C36E99">
        <w:rPr>
          <w:sz w:val="24"/>
          <w:szCs w:val="24"/>
          <w:u w:val="none"/>
          <w:lang w:val="en-US"/>
        </w:rPr>
        <w:t xml:space="preserve">IASR Section 80.45 – 80.51 - </w:t>
      </w:r>
      <w:r w:rsidR="001B14A9" w:rsidRPr="00C36E99">
        <w:rPr>
          <w:sz w:val="24"/>
          <w:szCs w:val="24"/>
          <w:u w:val="none"/>
          <w:lang w:val="en-US"/>
        </w:rPr>
        <w:t>Customer Service Standard Training</w:t>
      </w:r>
      <w:bookmarkEnd w:id="11"/>
      <w:r w:rsidR="001B14A9" w:rsidRPr="00C36E99">
        <w:rPr>
          <w:sz w:val="24"/>
          <w:szCs w:val="24"/>
          <w:u w:val="none"/>
          <w:lang w:val="en-US"/>
        </w:rPr>
        <w:t xml:space="preserve"> </w:t>
      </w:r>
    </w:p>
    <w:p w14:paraId="1515B39D" w14:textId="2A5345FE" w:rsidR="00C001DF" w:rsidRDefault="00C943A4" w:rsidP="00C7136F">
      <w:pPr>
        <w:spacing w:after="100" w:afterAutospacing="1"/>
        <w:rPr>
          <w:rFonts w:cs="Arial"/>
          <w:color w:val="000000"/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  <w:lang w:val="en-US"/>
        </w:rPr>
        <w:t>Trent</w:t>
      </w:r>
      <w:r w:rsidR="00581860">
        <w:rPr>
          <w:rFonts w:cs="Arial"/>
          <w:color w:val="000000"/>
          <w:sz w:val="24"/>
          <w:szCs w:val="24"/>
          <w:lang w:val="en-US"/>
        </w:rPr>
        <w:t xml:space="preserve"> continue</w:t>
      </w:r>
      <w:r w:rsidR="0022267E">
        <w:rPr>
          <w:rFonts w:cs="Arial"/>
          <w:color w:val="000000"/>
          <w:sz w:val="24"/>
          <w:szCs w:val="24"/>
          <w:lang w:val="en-US"/>
        </w:rPr>
        <w:t>s</w:t>
      </w:r>
      <w:r w:rsidR="00581860">
        <w:rPr>
          <w:rFonts w:cs="Arial"/>
          <w:color w:val="000000"/>
          <w:sz w:val="24"/>
          <w:szCs w:val="24"/>
          <w:lang w:val="en-US"/>
        </w:rPr>
        <w:t xml:space="preserve"> to offer t</w:t>
      </w:r>
      <w:r w:rsidR="00517144" w:rsidRPr="00777143">
        <w:rPr>
          <w:rFonts w:cs="Arial"/>
          <w:color w:val="000000"/>
          <w:sz w:val="24"/>
          <w:szCs w:val="24"/>
          <w:lang w:val="en-US"/>
        </w:rPr>
        <w:t>raining on the Customer S</w:t>
      </w:r>
      <w:r>
        <w:rPr>
          <w:rFonts w:cs="Arial"/>
          <w:color w:val="000000"/>
          <w:sz w:val="24"/>
          <w:szCs w:val="24"/>
          <w:lang w:val="en-US"/>
        </w:rPr>
        <w:t>ervice Standar</w:t>
      </w:r>
      <w:r w:rsidR="00811687">
        <w:rPr>
          <w:rFonts w:cs="Arial"/>
          <w:color w:val="000000"/>
          <w:sz w:val="24"/>
          <w:szCs w:val="24"/>
          <w:lang w:val="en-US"/>
        </w:rPr>
        <w:t xml:space="preserve">d. 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In 2021, </w:t>
      </w:r>
      <w:r w:rsidR="00C001DF">
        <w:rPr>
          <w:rFonts w:cs="Arial"/>
          <w:color w:val="000000"/>
          <w:sz w:val="24"/>
          <w:szCs w:val="24"/>
          <w:lang w:val="en-US"/>
        </w:rPr>
        <w:t>initial</w:t>
      </w:r>
      <w:r w:rsidR="005B1BEC">
        <w:rPr>
          <w:rFonts w:cs="Arial"/>
          <w:color w:val="000000"/>
          <w:sz w:val="24"/>
          <w:szCs w:val="24"/>
          <w:lang w:val="en-US"/>
        </w:rPr>
        <w:t xml:space="preserve"> progress was made in </w:t>
      </w:r>
      <w:r w:rsidR="00C7136F">
        <w:rPr>
          <w:rFonts w:cs="Arial"/>
          <w:color w:val="000000"/>
          <w:sz w:val="24"/>
          <w:szCs w:val="24"/>
          <w:lang w:val="en-US"/>
        </w:rPr>
        <w:t>moving these training records, as part of mandatory AODA training, to Trent’s HRIS</w:t>
      </w:r>
      <w:r w:rsidR="00F928EA">
        <w:rPr>
          <w:rFonts w:cs="Arial"/>
          <w:color w:val="000000"/>
          <w:sz w:val="24"/>
          <w:szCs w:val="24"/>
          <w:lang w:val="en-US"/>
        </w:rPr>
        <w:t>, which</w:t>
      </w:r>
      <w:r w:rsidR="00C7136F">
        <w:rPr>
          <w:rFonts w:cs="Arial"/>
          <w:color w:val="000000"/>
          <w:sz w:val="24"/>
          <w:szCs w:val="24"/>
          <w:lang w:val="en-US"/>
        </w:rPr>
        <w:t xml:space="preserve"> will primarily house current employee training records. </w:t>
      </w:r>
    </w:p>
    <w:p w14:paraId="1ED20266" w14:textId="5B613644" w:rsidR="00CA2EB6" w:rsidRPr="00CA2EB6" w:rsidRDefault="00CA2EB6" w:rsidP="00CA2EB6">
      <w:pPr>
        <w:pStyle w:val="Heading2"/>
        <w:spacing w:after="240"/>
        <w:rPr>
          <w:color w:val="auto"/>
          <w:lang w:val="en-US"/>
        </w:rPr>
      </w:pPr>
      <w:bookmarkStart w:id="12" w:name="_Toc92713690"/>
      <w:r w:rsidRPr="00CA2EB6">
        <w:rPr>
          <w:color w:val="auto"/>
          <w:lang w:val="en-US"/>
        </w:rPr>
        <w:t>Consultation on New Standard</w:t>
      </w:r>
      <w:bookmarkEnd w:id="12"/>
    </w:p>
    <w:p w14:paraId="78E78AD8" w14:textId="2B12A91A" w:rsidR="00C001DF" w:rsidRDefault="00C001DF" w:rsidP="00C36E99">
      <w:pPr>
        <w:pStyle w:val="Heading3"/>
        <w:rPr>
          <w:sz w:val="24"/>
          <w:szCs w:val="24"/>
          <w:u w:val="none"/>
          <w:lang w:val="en-US"/>
        </w:rPr>
      </w:pPr>
      <w:bookmarkStart w:id="13" w:name="_Toc92713691"/>
      <w:r w:rsidRPr="00C36E99">
        <w:rPr>
          <w:sz w:val="24"/>
          <w:szCs w:val="24"/>
          <w:u w:val="none"/>
          <w:lang w:val="en-US"/>
        </w:rPr>
        <w:t>AODA Education Standard Initial Recommendations</w:t>
      </w:r>
      <w:bookmarkEnd w:id="13"/>
    </w:p>
    <w:p w14:paraId="09C9F4D1" w14:textId="5486EA77" w:rsidR="00320C58" w:rsidRPr="00746EC6" w:rsidRDefault="00F35C87" w:rsidP="00320C58">
      <w:pPr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2021, the</w:t>
      </w:r>
      <w:r w:rsidR="00C36E99" w:rsidRPr="00746EC6">
        <w:rPr>
          <w:sz w:val="24"/>
          <w:szCs w:val="24"/>
          <w:lang w:val="en-US"/>
        </w:rPr>
        <w:t xml:space="preserve"> AODA Standards Development Committee released initial </w:t>
      </w:r>
      <w:r w:rsidR="00F928EA">
        <w:rPr>
          <w:sz w:val="24"/>
          <w:szCs w:val="24"/>
          <w:lang w:val="en-US"/>
        </w:rPr>
        <w:t xml:space="preserve">post-secondary </w:t>
      </w:r>
      <w:r w:rsidR="00C36E99" w:rsidRPr="00746EC6">
        <w:rPr>
          <w:sz w:val="24"/>
          <w:szCs w:val="24"/>
          <w:lang w:val="en-US"/>
        </w:rPr>
        <w:t>recommendations</w:t>
      </w:r>
      <w:r w:rsidR="00F928EA">
        <w:rPr>
          <w:sz w:val="24"/>
          <w:szCs w:val="24"/>
          <w:lang w:val="en-US"/>
        </w:rPr>
        <w:t>,</w:t>
      </w:r>
      <w:r w:rsidR="00921A3C" w:rsidRPr="00746EC6">
        <w:rPr>
          <w:sz w:val="24"/>
          <w:szCs w:val="24"/>
          <w:lang w:val="en-US"/>
        </w:rPr>
        <w:t xml:space="preserve"> as part of the AODA Education Standard. These recommendations were released as part of the required consultation period, which closed</w:t>
      </w:r>
      <w:r w:rsidR="00A84DBF">
        <w:rPr>
          <w:sz w:val="24"/>
          <w:szCs w:val="24"/>
          <w:lang w:val="en-US"/>
        </w:rPr>
        <w:t xml:space="preserve"> on</w:t>
      </w:r>
      <w:r w:rsidR="00921A3C" w:rsidRPr="00746EC6">
        <w:rPr>
          <w:sz w:val="24"/>
          <w:szCs w:val="24"/>
          <w:lang w:val="en-US"/>
        </w:rPr>
        <w:t xml:space="preserve"> November 1, 2021. </w:t>
      </w:r>
      <w:r>
        <w:rPr>
          <w:sz w:val="24"/>
          <w:szCs w:val="24"/>
          <w:lang w:val="en-US"/>
        </w:rPr>
        <w:t xml:space="preserve">Trent faculty and staff members reviewed these recommendations, and provided </w:t>
      </w:r>
      <w:r>
        <w:rPr>
          <w:sz w:val="24"/>
          <w:szCs w:val="24"/>
          <w:lang w:val="en-US"/>
        </w:rPr>
        <w:lastRenderedPageBreak/>
        <w:t xml:space="preserve">input, primarily via their </w:t>
      </w:r>
      <w:r w:rsidR="00921A3C" w:rsidRPr="00746EC6">
        <w:rPr>
          <w:sz w:val="24"/>
          <w:szCs w:val="24"/>
          <w:lang w:val="en-US"/>
        </w:rPr>
        <w:t>professional groups/associat</w:t>
      </w:r>
      <w:r w:rsidR="00746EC6">
        <w:rPr>
          <w:sz w:val="24"/>
          <w:szCs w:val="24"/>
          <w:lang w:val="en-US"/>
        </w:rPr>
        <w:t>ions</w:t>
      </w:r>
      <w:r w:rsidR="00921A3C" w:rsidRPr="00746EC6">
        <w:rPr>
          <w:sz w:val="24"/>
          <w:szCs w:val="24"/>
          <w:lang w:val="en-US"/>
        </w:rPr>
        <w:t xml:space="preserve"> such as the Council of Ontario Universities</w:t>
      </w:r>
      <w:r w:rsidR="006C3F2C">
        <w:rPr>
          <w:sz w:val="24"/>
          <w:szCs w:val="24"/>
          <w:lang w:val="en-US"/>
        </w:rPr>
        <w:t xml:space="preserve">’ </w:t>
      </w:r>
      <w:r w:rsidR="00C36E99" w:rsidRPr="00746EC6">
        <w:rPr>
          <w:sz w:val="24"/>
          <w:szCs w:val="24"/>
          <w:lang w:val="en-US"/>
        </w:rPr>
        <w:t>Ontario Council of Academic Vice-Presidents (OCAV)</w:t>
      </w:r>
      <w:r w:rsidR="00921A3C" w:rsidRPr="00746EC6">
        <w:rPr>
          <w:sz w:val="24"/>
          <w:szCs w:val="24"/>
          <w:lang w:val="en-US"/>
        </w:rPr>
        <w:t xml:space="preserve"> as well as the Inter-University Disability Issues Association (I</w:t>
      </w:r>
      <w:r w:rsidR="00DF53DF">
        <w:rPr>
          <w:sz w:val="24"/>
          <w:szCs w:val="24"/>
          <w:lang w:val="en-US"/>
        </w:rPr>
        <w:t>DIA</w:t>
      </w:r>
      <w:r>
        <w:rPr>
          <w:sz w:val="24"/>
          <w:szCs w:val="24"/>
          <w:lang w:val="en-US"/>
        </w:rPr>
        <w:t>)</w:t>
      </w:r>
      <w:r w:rsidR="00921A3C" w:rsidRPr="00746EC6">
        <w:rPr>
          <w:sz w:val="24"/>
          <w:szCs w:val="24"/>
          <w:lang w:val="en-US"/>
        </w:rPr>
        <w:t xml:space="preserve">. </w:t>
      </w:r>
    </w:p>
    <w:p w14:paraId="710817C6" w14:textId="633F2DB9" w:rsidR="00B36F56" w:rsidRPr="00C36E99" w:rsidRDefault="00DB0F44" w:rsidP="00CA2EB6">
      <w:pPr>
        <w:pStyle w:val="Heading2"/>
        <w:spacing w:after="240"/>
        <w:rPr>
          <w:color w:val="auto"/>
        </w:rPr>
      </w:pPr>
      <w:bookmarkStart w:id="14" w:name="_Toc92713692"/>
      <w:r w:rsidRPr="00C36E99">
        <w:rPr>
          <w:color w:val="auto"/>
        </w:rPr>
        <w:t>Contac</w:t>
      </w:r>
      <w:r w:rsidR="0069725F" w:rsidRPr="00C36E99">
        <w:rPr>
          <w:color w:val="auto"/>
        </w:rPr>
        <w:t>t</w:t>
      </w:r>
      <w:bookmarkEnd w:id="14"/>
    </w:p>
    <w:p w14:paraId="1A8251D1" w14:textId="21D4853C" w:rsidR="00AE71F3" w:rsidRPr="002C2A94" w:rsidRDefault="008D2DDC" w:rsidP="00122EC0">
      <w:pPr>
        <w:rPr>
          <w:rFonts w:cstheme="majorBidi"/>
          <w:sz w:val="24"/>
          <w:szCs w:val="24"/>
        </w:rPr>
      </w:pPr>
      <w:r w:rsidRPr="00122EC0">
        <w:rPr>
          <w:sz w:val="24"/>
          <w:szCs w:val="24"/>
        </w:rPr>
        <w:t>Andrea Walsh, OT Reg. (Ont.)</w:t>
      </w:r>
    </w:p>
    <w:p w14:paraId="1489837D" w14:textId="77777777" w:rsidR="004C4452" w:rsidRPr="00122EC0" w:rsidRDefault="004C4452" w:rsidP="00122EC0">
      <w:pPr>
        <w:rPr>
          <w:sz w:val="24"/>
          <w:szCs w:val="24"/>
        </w:rPr>
      </w:pPr>
      <w:r w:rsidRPr="00122EC0">
        <w:rPr>
          <w:sz w:val="24"/>
          <w:szCs w:val="24"/>
        </w:rPr>
        <w:t>Institutional Accessibility Advisor</w:t>
      </w:r>
    </w:p>
    <w:p w14:paraId="7A860D9A" w14:textId="77777777" w:rsidR="00AE71F3" w:rsidRPr="00122EC0" w:rsidRDefault="00F31078" w:rsidP="00122EC0">
      <w:pPr>
        <w:rPr>
          <w:sz w:val="24"/>
          <w:szCs w:val="24"/>
        </w:rPr>
      </w:pPr>
      <w:r w:rsidRPr="00122EC0">
        <w:rPr>
          <w:sz w:val="24"/>
          <w:szCs w:val="24"/>
        </w:rPr>
        <w:t>Centre for</w:t>
      </w:r>
      <w:r w:rsidR="00AE71F3" w:rsidRPr="00122EC0">
        <w:rPr>
          <w:sz w:val="24"/>
          <w:szCs w:val="24"/>
        </w:rPr>
        <w:t xml:space="preserve"> Human Rights, Equity and Accessibility</w:t>
      </w:r>
    </w:p>
    <w:p w14:paraId="03C4B9D2" w14:textId="77777777" w:rsidR="00122EC0" w:rsidRPr="00122EC0" w:rsidRDefault="001108A6" w:rsidP="00122EC0">
      <w:pPr>
        <w:rPr>
          <w:sz w:val="24"/>
          <w:szCs w:val="24"/>
          <w:lang w:val="fr-CA"/>
        </w:rPr>
      </w:pPr>
      <w:r w:rsidRPr="002C2A94">
        <w:rPr>
          <w:lang w:val="fr-FR"/>
        </w:rPr>
        <w:t>Email:</w:t>
      </w:r>
      <w:r w:rsidR="00D35136" w:rsidRPr="00D35136">
        <w:rPr>
          <w:rStyle w:val="Hyperlink"/>
          <w:sz w:val="24"/>
          <w:szCs w:val="24"/>
          <w:u w:val="none"/>
          <w:lang w:val="fr-CA"/>
        </w:rPr>
        <w:t xml:space="preserve"> </w:t>
      </w:r>
      <w:hyperlink r:id="rId9" w:history="1">
        <w:r w:rsidR="00122EC0" w:rsidRPr="00C849B2">
          <w:rPr>
            <w:rStyle w:val="Hyperlink"/>
            <w:sz w:val="24"/>
            <w:szCs w:val="24"/>
            <w:lang w:val="fr-CA"/>
          </w:rPr>
          <w:t>awalsh@trentu.ca</w:t>
        </w:r>
      </w:hyperlink>
    </w:p>
    <w:p w14:paraId="2D195DEB" w14:textId="77777777" w:rsidR="00AE71F3" w:rsidRPr="00122EC0" w:rsidRDefault="00D35136" w:rsidP="00FC47EA">
      <w:pPr>
        <w:autoSpaceDE w:val="0"/>
        <w:autoSpaceDN w:val="0"/>
        <w:adjustRightInd w:val="0"/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>Phone</w:t>
      </w:r>
      <w:r w:rsidR="00C849B2">
        <w:rPr>
          <w:rFonts w:cs="Arial"/>
          <w:sz w:val="24"/>
          <w:szCs w:val="24"/>
          <w:lang w:val="fr-CA"/>
        </w:rPr>
        <w:t xml:space="preserve">: </w:t>
      </w:r>
      <w:r>
        <w:rPr>
          <w:rFonts w:cs="Arial"/>
          <w:sz w:val="24"/>
          <w:szCs w:val="24"/>
          <w:lang w:val="fr-CA"/>
        </w:rPr>
        <w:t>705-748-1011 e</w:t>
      </w:r>
      <w:r w:rsidR="00AE71F3" w:rsidRPr="00122EC0">
        <w:rPr>
          <w:rFonts w:cs="Arial"/>
          <w:sz w:val="24"/>
          <w:szCs w:val="24"/>
          <w:lang w:val="fr-CA"/>
        </w:rPr>
        <w:t>x</w:t>
      </w:r>
      <w:r w:rsidR="00EC317F" w:rsidRPr="00122EC0">
        <w:rPr>
          <w:rFonts w:cs="Arial"/>
          <w:sz w:val="24"/>
          <w:szCs w:val="24"/>
          <w:lang w:val="fr-CA"/>
        </w:rPr>
        <w:t>t</w:t>
      </w:r>
      <w:r w:rsidR="00FA787D" w:rsidRPr="00122EC0">
        <w:rPr>
          <w:rFonts w:cs="Arial"/>
          <w:sz w:val="24"/>
          <w:szCs w:val="24"/>
          <w:lang w:val="fr-CA"/>
        </w:rPr>
        <w:t xml:space="preserve">ension </w:t>
      </w:r>
      <w:r w:rsidR="008D2DDC" w:rsidRPr="00122EC0">
        <w:rPr>
          <w:rFonts w:cs="Arial"/>
          <w:sz w:val="24"/>
          <w:szCs w:val="24"/>
          <w:lang w:val="fr-CA"/>
        </w:rPr>
        <w:t>6602</w:t>
      </w:r>
      <w:r w:rsidR="00AE71F3" w:rsidRPr="00122EC0">
        <w:rPr>
          <w:rFonts w:cs="Arial"/>
          <w:sz w:val="24"/>
          <w:szCs w:val="24"/>
          <w:lang w:val="fr-CA"/>
        </w:rPr>
        <w:t xml:space="preserve"> </w:t>
      </w:r>
    </w:p>
    <w:sectPr w:rsidR="00AE71F3" w:rsidRPr="00122EC0" w:rsidSect="002B6F8B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B1C11" w14:textId="77777777" w:rsidR="008F30E1" w:rsidRDefault="008F30E1" w:rsidP="0052735F">
      <w:r>
        <w:separator/>
      </w:r>
    </w:p>
  </w:endnote>
  <w:endnote w:type="continuationSeparator" w:id="0">
    <w:p w14:paraId="4E0E438A" w14:textId="77777777" w:rsidR="008F30E1" w:rsidRDefault="008F30E1" w:rsidP="0052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82933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641D93" w14:textId="74B29D21" w:rsidR="005D1A93" w:rsidRDefault="002177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F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F0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A1E7B" w14:textId="77777777" w:rsidR="008F30E1" w:rsidRDefault="008F30E1" w:rsidP="0052735F">
      <w:r>
        <w:separator/>
      </w:r>
    </w:p>
  </w:footnote>
  <w:footnote w:type="continuationSeparator" w:id="0">
    <w:p w14:paraId="2628972E" w14:textId="77777777" w:rsidR="008F30E1" w:rsidRDefault="008F30E1" w:rsidP="0052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00639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205D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920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CE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D2A7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EC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C71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34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B0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61DEA"/>
    <w:multiLevelType w:val="hybridMultilevel"/>
    <w:tmpl w:val="A8D2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46A25"/>
    <w:multiLevelType w:val="hybridMultilevel"/>
    <w:tmpl w:val="D160F50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7C3101"/>
    <w:multiLevelType w:val="hybridMultilevel"/>
    <w:tmpl w:val="6AA6001A"/>
    <w:lvl w:ilvl="0" w:tplc="8E88948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7AA3"/>
    <w:multiLevelType w:val="hybridMultilevel"/>
    <w:tmpl w:val="40A439D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473B94"/>
    <w:multiLevelType w:val="hybridMultilevel"/>
    <w:tmpl w:val="DB70E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E5B9F"/>
    <w:multiLevelType w:val="hybridMultilevel"/>
    <w:tmpl w:val="3A66C94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264F91"/>
    <w:multiLevelType w:val="hybridMultilevel"/>
    <w:tmpl w:val="8752C1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3868CC"/>
    <w:multiLevelType w:val="hybridMultilevel"/>
    <w:tmpl w:val="3E4EC7B0"/>
    <w:lvl w:ilvl="0" w:tplc="8E88948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452B0"/>
    <w:multiLevelType w:val="hybridMultilevel"/>
    <w:tmpl w:val="AD9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31CC7"/>
    <w:multiLevelType w:val="hybridMultilevel"/>
    <w:tmpl w:val="678C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F41F5"/>
    <w:multiLevelType w:val="hybridMultilevel"/>
    <w:tmpl w:val="2B6AC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73BC"/>
    <w:multiLevelType w:val="hybridMultilevel"/>
    <w:tmpl w:val="7F3EF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21"/>
  </w:num>
  <w:num w:numId="7">
    <w:abstractNumId w:val="12"/>
  </w:num>
  <w:num w:numId="8">
    <w:abstractNumId w:val="17"/>
  </w:num>
  <w:num w:numId="9">
    <w:abstractNumId w:val="20"/>
  </w:num>
  <w:num w:numId="10">
    <w:abstractNumId w:val="10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1A"/>
    <w:rsid w:val="0000008F"/>
    <w:rsid w:val="00003B08"/>
    <w:rsid w:val="0001140A"/>
    <w:rsid w:val="00015239"/>
    <w:rsid w:val="0001726A"/>
    <w:rsid w:val="000213B3"/>
    <w:rsid w:val="0002471A"/>
    <w:rsid w:val="00034644"/>
    <w:rsid w:val="00036D6C"/>
    <w:rsid w:val="000414F3"/>
    <w:rsid w:val="00067216"/>
    <w:rsid w:val="00070224"/>
    <w:rsid w:val="00080DDC"/>
    <w:rsid w:val="0008651A"/>
    <w:rsid w:val="0008792A"/>
    <w:rsid w:val="0009129B"/>
    <w:rsid w:val="000954D5"/>
    <w:rsid w:val="000A3869"/>
    <w:rsid w:val="000A5744"/>
    <w:rsid w:val="000C114E"/>
    <w:rsid w:val="000C1869"/>
    <w:rsid w:val="000D0E82"/>
    <w:rsid w:val="000D1240"/>
    <w:rsid w:val="000D162C"/>
    <w:rsid w:val="000D22EE"/>
    <w:rsid w:val="000D4FE6"/>
    <w:rsid w:val="000D6C85"/>
    <w:rsid w:val="000E27C1"/>
    <w:rsid w:val="000E42F4"/>
    <w:rsid w:val="000F0CE1"/>
    <w:rsid w:val="0010064F"/>
    <w:rsid w:val="00104DAC"/>
    <w:rsid w:val="001079CB"/>
    <w:rsid w:val="001108A6"/>
    <w:rsid w:val="00122EC0"/>
    <w:rsid w:val="00126D18"/>
    <w:rsid w:val="0013145F"/>
    <w:rsid w:val="0013495D"/>
    <w:rsid w:val="001407E4"/>
    <w:rsid w:val="0015740F"/>
    <w:rsid w:val="00161EB8"/>
    <w:rsid w:val="001642BA"/>
    <w:rsid w:val="001647D4"/>
    <w:rsid w:val="00165841"/>
    <w:rsid w:val="0016727A"/>
    <w:rsid w:val="001679FD"/>
    <w:rsid w:val="00167B91"/>
    <w:rsid w:val="00173C79"/>
    <w:rsid w:val="0019063A"/>
    <w:rsid w:val="00190721"/>
    <w:rsid w:val="0019215E"/>
    <w:rsid w:val="00196E85"/>
    <w:rsid w:val="00197FB7"/>
    <w:rsid w:val="001A3470"/>
    <w:rsid w:val="001A5A0C"/>
    <w:rsid w:val="001B14A9"/>
    <w:rsid w:val="001B2D56"/>
    <w:rsid w:val="001B7846"/>
    <w:rsid w:val="001C5512"/>
    <w:rsid w:val="001C59CF"/>
    <w:rsid w:val="001C6A0C"/>
    <w:rsid w:val="001D3F36"/>
    <w:rsid w:val="001D648F"/>
    <w:rsid w:val="001E352A"/>
    <w:rsid w:val="001F2308"/>
    <w:rsid w:val="001F6463"/>
    <w:rsid w:val="00202F8A"/>
    <w:rsid w:val="00203298"/>
    <w:rsid w:val="0021775E"/>
    <w:rsid w:val="002213DA"/>
    <w:rsid w:val="002217B6"/>
    <w:rsid w:val="0022267E"/>
    <w:rsid w:val="002256BE"/>
    <w:rsid w:val="00234286"/>
    <w:rsid w:val="00234F82"/>
    <w:rsid w:val="00246683"/>
    <w:rsid w:val="00246C3A"/>
    <w:rsid w:val="00251C00"/>
    <w:rsid w:val="00254018"/>
    <w:rsid w:val="0025716D"/>
    <w:rsid w:val="0026432F"/>
    <w:rsid w:val="00267ABA"/>
    <w:rsid w:val="00272767"/>
    <w:rsid w:val="00277048"/>
    <w:rsid w:val="0028317C"/>
    <w:rsid w:val="00293EBC"/>
    <w:rsid w:val="00294BAF"/>
    <w:rsid w:val="00297C98"/>
    <w:rsid w:val="002A0167"/>
    <w:rsid w:val="002A1A4D"/>
    <w:rsid w:val="002A45A2"/>
    <w:rsid w:val="002A55E2"/>
    <w:rsid w:val="002B22EE"/>
    <w:rsid w:val="002B563C"/>
    <w:rsid w:val="002B6DA2"/>
    <w:rsid w:val="002B6F8B"/>
    <w:rsid w:val="002B7587"/>
    <w:rsid w:val="002C0240"/>
    <w:rsid w:val="002C2A94"/>
    <w:rsid w:val="002C472D"/>
    <w:rsid w:val="002C4BC6"/>
    <w:rsid w:val="002C71C0"/>
    <w:rsid w:val="002D3CA5"/>
    <w:rsid w:val="002D59F1"/>
    <w:rsid w:val="002F02D5"/>
    <w:rsid w:val="00300146"/>
    <w:rsid w:val="00311BA4"/>
    <w:rsid w:val="00320C58"/>
    <w:rsid w:val="00324A07"/>
    <w:rsid w:val="00332D8D"/>
    <w:rsid w:val="0034240A"/>
    <w:rsid w:val="00345C3C"/>
    <w:rsid w:val="003500D5"/>
    <w:rsid w:val="00361E0D"/>
    <w:rsid w:val="003626CA"/>
    <w:rsid w:val="00362B88"/>
    <w:rsid w:val="003742F8"/>
    <w:rsid w:val="00376259"/>
    <w:rsid w:val="00381416"/>
    <w:rsid w:val="003816CB"/>
    <w:rsid w:val="003A5509"/>
    <w:rsid w:val="003B071F"/>
    <w:rsid w:val="003B3686"/>
    <w:rsid w:val="003C3B31"/>
    <w:rsid w:val="003D2DDF"/>
    <w:rsid w:val="003D3F45"/>
    <w:rsid w:val="003E4BE9"/>
    <w:rsid w:val="00401335"/>
    <w:rsid w:val="00401B75"/>
    <w:rsid w:val="00414D41"/>
    <w:rsid w:val="00425587"/>
    <w:rsid w:val="00426B50"/>
    <w:rsid w:val="00432BF7"/>
    <w:rsid w:val="00444CB5"/>
    <w:rsid w:val="0045103F"/>
    <w:rsid w:val="00452A23"/>
    <w:rsid w:val="004549BB"/>
    <w:rsid w:val="0045573A"/>
    <w:rsid w:val="00455B96"/>
    <w:rsid w:val="00457B58"/>
    <w:rsid w:val="00457DA0"/>
    <w:rsid w:val="00465574"/>
    <w:rsid w:val="00465BD4"/>
    <w:rsid w:val="00484D79"/>
    <w:rsid w:val="00493A16"/>
    <w:rsid w:val="004A4F5B"/>
    <w:rsid w:val="004A6BF1"/>
    <w:rsid w:val="004B4E10"/>
    <w:rsid w:val="004C0409"/>
    <w:rsid w:val="004C4452"/>
    <w:rsid w:val="004C5F0F"/>
    <w:rsid w:val="004D19A7"/>
    <w:rsid w:val="004D6DC8"/>
    <w:rsid w:val="004E159C"/>
    <w:rsid w:val="004E549B"/>
    <w:rsid w:val="004E740E"/>
    <w:rsid w:val="004F033F"/>
    <w:rsid w:val="004F3720"/>
    <w:rsid w:val="004F43DF"/>
    <w:rsid w:val="004F492C"/>
    <w:rsid w:val="004F68FC"/>
    <w:rsid w:val="00501515"/>
    <w:rsid w:val="00517144"/>
    <w:rsid w:val="00520D15"/>
    <w:rsid w:val="00525422"/>
    <w:rsid w:val="0052735F"/>
    <w:rsid w:val="0053122B"/>
    <w:rsid w:val="00537213"/>
    <w:rsid w:val="00541CB4"/>
    <w:rsid w:val="00545F7A"/>
    <w:rsid w:val="00547EF1"/>
    <w:rsid w:val="00556003"/>
    <w:rsid w:val="005561C2"/>
    <w:rsid w:val="0055758C"/>
    <w:rsid w:val="005648FA"/>
    <w:rsid w:val="00564F6E"/>
    <w:rsid w:val="00566E2E"/>
    <w:rsid w:val="0057272E"/>
    <w:rsid w:val="0058021C"/>
    <w:rsid w:val="00581860"/>
    <w:rsid w:val="00584AFA"/>
    <w:rsid w:val="00586B67"/>
    <w:rsid w:val="0058745B"/>
    <w:rsid w:val="00592919"/>
    <w:rsid w:val="005A033D"/>
    <w:rsid w:val="005A741E"/>
    <w:rsid w:val="005B04A4"/>
    <w:rsid w:val="005B1BEC"/>
    <w:rsid w:val="005C16D5"/>
    <w:rsid w:val="005C3E06"/>
    <w:rsid w:val="005C4F21"/>
    <w:rsid w:val="005C6268"/>
    <w:rsid w:val="005C6B26"/>
    <w:rsid w:val="005D1A93"/>
    <w:rsid w:val="005D4530"/>
    <w:rsid w:val="005D6723"/>
    <w:rsid w:val="005E326D"/>
    <w:rsid w:val="005E32B5"/>
    <w:rsid w:val="005F10C7"/>
    <w:rsid w:val="005F4F9D"/>
    <w:rsid w:val="005F5E38"/>
    <w:rsid w:val="00600894"/>
    <w:rsid w:val="00600C7B"/>
    <w:rsid w:val="006110FF"/>
    <w:rsid w:val="00621059"/>
    <w:rsid w:val="0062557D"/>
    <w:rsid w:val="00626DE4"/>
    <w:rsid w:val="00636A69"/>
    <w:rsid w:val="00642BE7"/>
    <w:rsid w:val="006440FD"/>
    <w:rsid w:val="00653B88"/>
    <w:rsid w:val="006554C5"/>
    <w:rsid w:val="006733F4"/>
    <w:rsid w:val="006800E6"/>
    <w:rsid w:val="00685B70"/>
    <w:rsid w:val="00694632"/>
    <w:rsid w:val="0069725F"/>
    <w:rsid w:val="006A3839"/>
    <w:rsid w:val="006B16A7"/>
    <w:rsid w:val="006B6ACF"/>
    <w:rsid w:val="006C3F2C"/>
    <w:rsid w:val="006E008E"/>
    <w:rsid w:val="006E0761"/>
    <w:rsid w:val="006E24F4"/>
    <w:rsid w:val="006E2F0E"/>
    <w:rsid w:val="006F2760"/>
    <w:rsid w:val="006F582A"/>
    <w:rsid w:val="006F6037"/>
    <w:rsid w:val="00707AF4"/>
    <w:rsid w:val="00710123"/>
    <w:rsid w:val="007119F8"/>
    <w:rsid w:val="00714FCD"/>
    <w:rsid w:val="00720781"/>
    <w:rsid w:val="007302FB"/>
    <w:rsid w:val="00734C49"/>
    <w:rsid w:val="00744894"/>
    <w:rsid w:val="00746EC6"/>
    <w:rsid w:val="00750338"/>
    <w:rsid w:val="00750476"/>
    <w:rsid w:val="007520B7"/>
    <w:rsid w:val="00753A47"/>
    <w:rsid w:val="007619E7"/>
    <w:rsid w:val="007624CD"/>
    <w:rsid w:val="007648A3"/>
    <w:rsid w:val="00764F41"/>
    <w:rsid w:val="00765CED"/>
    <w:rsid w:val="00767B8B"/>
    <w:rsid w:val="007714D0"/>
    <w:rsid w:val="00777143"/>
    <w:rsid w:val="00777EE9"/>
    <w:rsid w:val="00780394"/>
    <w:rsid w:val="00781ECD"/>
    <w:rsid w:val="007831F2"/>
    <w:rsid w:val="00785197"/>
    <w:rsid w:val="007A3F58"/>
    <w:rsid w:val="007A421A"/>
    <w:rsid w:val="007B121C"/>
    <w:rsid w:val="007B2105"/>
    <w:rsid w:val="007B2E22"/>
    <w:rsid w:val="007B6636"/>
    <w:rsid w:val="007B6A10"/>
    <w:rsid w:val="007C24AA"/>
    <w:rsid w:val="007C3280"/>
    <w:rsid w:val="007D0043"/>
    <w:rsid w:val="007D50CD"/>
    <w:rsid w:val="007E2997"/>
    <w:rsid w:val="007E3CE1"/>
    <w:rsid w:val="007F051D"/>
    <w:rsid w:val="007F568A"/>
    <w:rsid w:val="008011D1"/>
    <w:rsid w:val="00803AA1"/>
    <w:rsid w:val="00811687"/>
    <w:rsid w:val="008238A6"/>
    <w:rsid w:val="00823EA8"/>
    <w:rsid w:val="0082585E"/>
    <w:rsid w:val="00832CD4"/>
    <w:rsid w:val="00835F05"/>
    <w:rsid w:val="008548AA"/>
    <w:rsid w:val="00864692"/>
    <w:rsid w:val="0086491C"/>
    <w:rsid w:val="00870B4A"/>
    <w:rsid w:val="008763CA"/>
    <w:rsid w:val="00882BE6"/>
    <w:rsid w:val="0089196B"/>
    <w:rsid w:val="008964DF"/>
    <w:rsid w:val="008B1D0F"/>
    <w:rsid w:val="008C209D"/>
    <w:rsid w:val="008C2804"/>
    <w:rsid w:val="008C5B8C"/>
    <w:rsid w:val="008C5E10"/>
    <w:rsid w:val="008C60C8"/>
    <w:rsid w:val="008C6AD9"/>
    <w:rsid w:val="008D2DDC"/>
    <w:rsid w:val="008D37F7"/>
    <w:rsid w:val="008E2515"/>
    <w:rsid w:val="008F15FB"/>
    <w:rsid w:val="008F30E1"/>
    <w:rsid w:val="009028F2"/>
    <w:rsid w:val="009071EF"/>
    <w:rsid w:val="00910AE2"/>
    <w:rsid w:val="00915433"/>
    <w:rsid w:val="00915663"/>
    <w:rsid w:val="00920416"/>
    <w:rsid w:val="00921A3C"/>
    <w:rsid w:val="009221EE"/>
    <w:rsid w:val="00922313"/>
    <w:rsid w:val="009237E3"/>
    <w:rsid w:val="00934FB6"/>
    <w:rsid w:val="00945905"/>
    <w:rsid w:val="00974138"/>
    <w:rsid w:val="00976589"/>
    <w:rsid w:val="0099040D"/>
    <w:rsid w:val="00991BF3"/>
    <w:rsid w:val="00995E7B"/>
    <w:rsid w:val="009A59A0"/>
    <w:rsid w:val="009A7BE3"/>
    <w:rsid w:val="009B1F83"/>
    <w:rsid w:val="009B7CBA"/>
    <w:rsid w:val="009D442B"/>
    <w:rsid w:val="009D4596"/>
    <w:rsid w:val="009D6731"/>
    <w:rsid w:val="009E3686"/>
    <w:rsid w:val="009E5472"/>
    <w:rsid w:val="009E6E78"/>
    <w:rsid w:val="009F3E6F"/>
    <w:rsid w:val="009F4B07"/>
    <w:rsid w:val="00A066E2"/>
    <w:rsid w:val="00A073C2"/>
    <w:rsid w:val="00A07772"/>
    <w:rsid w:val="00A11E0C"/>
    <w:rsid w:val="00A15594"/>
    <w:rsid w:val="00A15B55"/>
    <w:rsid w:val="00A221F3"/>
    <w:rsid w:val="00A24433"/>
    <w:rsid w:val="00A32960"/>
    <w:rsid w:val="00A32DEC"/>
    <w:rsid w:val="00A4295E"/>
    <w:rsid w:val="00A4327B"/>
    <w:rsid w:val="00A46F4A"/>
    <w:rsid w:val="00A54A73"/>
    <w:rsid w:val="00A70783"/>
    <w:rsid w:val="00A722D5"/>
    <w:rsid w:val="00A80386"/>
    <w:rsid w:val="00A840E7"/>
    <w:rsid w:val="00A84DBF"/>
    <w:rsid w:val="00A86613"/>
    <w:rsid w:val="00A8680A"/>
    <w:rsid w:val="00A86C59"/>
    <w:rsid w:val="00A9386F"/>
    <w:rsid w:val="00A952AA"/>
    <w:rsid w:val="00A971E8"/>
    <w:rsid w:val="00A97E99"/>
    <w:rsid w:val="00AA36D4"/>
    <w:rsid w:val="00AB13E9"/>
    <w:rsid w:val="00AB4702"/>
    <w:rsid w:val="00AB6D9A"/>
    <w:rsid w:val="00AB76BE"/>
    <w:rsid w:val="00AC4FDA"/>
    <w:rsid w:val="00AD25D4"/>
    <w:rsid w:val="00AD444D"/>
    <w:rsid w:val="00AD68A2"/>
    <w:rsid w:val="00AE0FDA"/>
    <w:rsid w:val="00AE71F3"/>
    <w:rsid w:val="00AF0ED4"/>
    <w:rsid w:val="00AF237D"/>
    <w:rsid w:val="00AF57A5"/>
    <w:rsid w:val="00AF5969"/>
    <w:rsid w:val="00B013A5"/>
    <w:rsid w:val="00B041D2"/>
    <w:rsid w:val="00B100D3"/>
    <w:rsid w:val="00B1029A"/>
    <w:rsid w:val="00B10852"/>
    <w:rsid w:val="00B13B0B"/>
    <w:rsid w:val="00B20EED"/>
    <w:rsid w:val="00B264B9"/>
    <w:rsid w:val="00B36F56"/>
    <w:rsid w:val="00B42E28"/>
    <w:rsid w:val="00B43688"/>
    <w:rsid w:val="00B44136"/>
    <w:rsid w:val="00B534DB"/>
    <w:rsid w:val="00B6539F"/>
    <w:rsid w:val="00B6582D"/>
    <w:rsid w:val="00B806F3"/>
    <w:rsid w:val="00B8235E"/>
    <w:rsid w:val="00B841DB"/>
    <w:rsid w:val="00BA1128"/>
    <w:rsid w:val="00BA6B78"/>
    <w:rsid w:val="00BB1BA5"/>
    <w:rsid w:val="00BD06A2"/>
    <w:rsid w:val="00BD2695"/>
    <w:rsid w:val="00BD7686"/>
    <w:rsid w:val="00BE1603"/>
    <w:rsid w:val="00BE1B86"/>
    <w:rsid w:val="00BE2260"/>
    <w:rsid w:val="00BE3B79"/>
    <w:rsid w:val="00BE7EFA"/>
    <w:rsid w:val="00BF0B9A"/>
    <w:rsid w:val="00C001DF"/>
    <w:rsid w:val="00C04E28"/>
    <w:rsid w:val="00C0539C"/>
    <w:rsid w:val="00C05F43"/>
    <w:rsid w:val="00C161AD"/>
    <w:rsid w:val="00C2025B"/>
    <w:rsid w:val="00C21923"/>
    <w:rsid w:val="00C22BEA"/>
    <w:rsid w:val="00C2306E"/>
    <w:rsid w:val="00C236EB"/>
    <w:rsid w:val="00C30621"/>
    <w:rsid w:val="00C33F35"/>
    <w:rsid w:val="00C36E99"/>
    <w:rsid w:val="00C619D6"/>
    <w:rsid w:val="00C7136F"/>
    <w:rsid w:val="00C77C8E"/>
    <w:rsid w:val="00C82698"/>
    <w:rsid w:val="00C849B2"/>
    <w:rsid w:val="00C86BF0"/>
    <w:rsid w:val="00C943A4"/>
    <w:rsid w:val="00C95DD9"/>
    <w:rsid w:val="00CA2A5D"/>
    <w:rsid w:val="00CA2EB6"/>
    <w:rsid w:val="00CA3CA8"/>
    <w:rsid w:val="00CB1418"/>
    <w:rsid w:val="00CB566E"/>
    <w:rsid w:val="00CE24A9"/>
    <w:rsid w:val="00D01B2B"/>
    <w:rsid w:val="00D04FA7"/>
    <w:rsid w:val="00D053BD"/>
    <w:rsid w:val="00D0591D"/>
    <w:rsid w:val="00D06316"/>
    <w:rsid w:val="00D10E8F"/>
    <w:rsid w:val="00D12B26"/>
    <w:rsid w:val="00D1658E"/>
    <w:rsid w:val="00D24825"/>
    <w:rsid w:val="00D26CEC"/>
    <w:rsid w:val="00D30DB8"/>
    <w:rsid w:val="00D35136"/>
    <w:rsid w:val="00D353B2"/>
    <w:rsid w:val="00D368BD"/>
    <w:rsid w:val="00D437A6"/>
    <w:rsid w:val="00D4462D"/>
    <w:rsid w:val="00D46F39"/>
    <w:rsid w:val="00D47EB4"/>
    <w:rsid w:val="00D626B1"/>
    <w:rsid w:val="00D62B9A"/>
    <w:rsid w:val="00D65A55"/>
    <w:rsid w:val="00D67CF5"/>
    <w:rsid w:val="00D73559"/>
    <w:rsid w:val="00D802C3"/>
    <w:rsid w:val="00D86F13"/>
    <w:rsid w:val="00D87433"/>
    <w:rsid w:val="00D92042"/>
    <w:rsid w:val="00D93028"/>
    <w:rsid w:val="00D93B6B"/>
    <w:rsid w:val="00D94316"/>
    <w:rsid w:val="00DA02E4"/>
    <w:rsid w:val="00DA1E64"/>
    <w:rsid w:val="00DB0F44"/>
    <w:rsid w:val="00DC5EB3"/>
    <w:rsid w:val="00DC7D04"/>
    <w:rsid w:val="00DE3C7E"/>
    <w:rsid w:val="00DF53DF"/>
    <w:rsid w:val="00DF71FA"/>
    <w:rsid w:val="00E06D0C"/>
    <w:rsid w:val="00E10351"/>
    <w:rsid w:val="00E1203D"/>
    <w:rsid w:val="00E1345C"/>
    <w:rsid w:val="00E16549"/>
    <w:rsid w:val="00E170A9"/>
    <w:rsid w:val="00E2279D"/>
    <w:rsid w:val="00E24B9A"/>
    <w:rsid w:val="00E26A00"/>
    <w:rsid w:val="00E31C52"/>
    <w:rsid w:val="00E33B6D"/>
    <w:rsid w:val="00E4116A"/>
    <w:rsid w:val="00E45507"/>
    <w:rsid w:val="00E45727"/>
    <w:rsid w:val="00E54745"/>
    <w:rsid w:val="00E566D1"/>
    <w:rsid w:val="00E64998"/>
    <w:rsid w:val="00E82DC9"/>
    <w:rsid w:val="00E83986"/>
    <w:rsid w:val="00E86142"/>
    <w:rsid w:val="00E901D9"/>
    <w:rsid w:val="00E95048"/>
    <w:rsid w:val="00E9695F"/>
    <w:rsid w:val="00EA1038"/>
    <w:rsid w:val="00EB1B51"/>
    <w:rsid w:val="00EB3D54"/>
    <w:rsid w:val="00EC1280"/>
    <w:rsid w:val="00EC317F"/>
    <w:rsid w:val="00EC5D14"/>
    <w:rsid w:val="00EC6A4F"/>
    <w:rsid w:val="00ED40C3"/>
    <w:rsid w:val="00EF1BCF"/>
    <w:rsid w:val="00EF48C0"/>
    <w:rsid w:val="00F0029D"/>
    <w:rsid w:val="00F16A71"/>
    <w:rsid w:val="00F203D6"/>
    <w:rsid w:val="00F236D0"/>
    <w:rsid w:val="00F23E2A"/>
    <w:rsid w:val="00F24F57"/>
    <w:rsid w:val="00F31078"/>
    <w:rsid w:val="00F35C87"/>
    <w:rsid w:val="00F45457"/>
    <w:rsid w:val="00F555F4"/>
    <w:rsid w:val="00F60AFA"/>
    <w:rsid w:val="00F626E0"/>
    <w:rsid w:val="00F63F03"/>
    <w:rsid w:val="00F65915"/>
    <w:rsid w:val="00F75924"/>
    <w:rsid w:val="00F76717"/>
    <w:rsid w:val="00F91932"/>
    <w:rsid w:val="00F919F6"/>
    <w:rsid w:val="00F928EA"/>
    <w:rsid w:val="00F97421"/>
    <w:rsid w:val="00FA787D"/>
    <w:rsid w:val="00FA7B37"/>
    <w:rsid w:val="00FB0E29"/>
    <w:rsid w:val="00FB1ED3"/>
    <w:rsid w:val="00FB351E"/>
    <w:rsid w:val="00FB5D98"/>
    <w:rsid w:val="00FC47EA"/>
    <w:rsid w:val="00FC6256"/>
    <w:rsid w:val="00FD3740"/>
    <w:rsid w:val="00FE534C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68DC7"/>
  <w15:docId w15:val="{A6D051F3-1246-43BB-B6EE-BC9321EF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CB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46683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466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71A"/>
    <w:pPr>
      <w:keepNext/>
      <w:jc w:val="both"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6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2471A"/>
    <w:rPr>
      <w:rFonts w:ascii="Arial" w:hAnsi="Arial" w:cs="Times New Roman"/>
      <w:b/>
      <w:sz w:val="20"/>
      <w:szCs w:val="20"/>
      <w:u w:val="single"/>
    </w:rPr>
  </w:style>
  <w:style w:type="character" w:styleId="Hyperlink">
    <w:name w:val="Hyperlink"/>
    <w:uiPriority w:val="99"/>
    <w:rsid w:val="00024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4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2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0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3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236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36E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6431"/>
    <w:rPr>
      <w:rFonts w:ascii="Arial" w:eastAsia="Times New Roman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36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6431"/>
    <w:rPr>
      <w:rFonts w:ascii="Arial" w:eastAsia="Times New Roman" w:hAnsi="Arial"/>
      <w:b/>
      <w:bCs/>
      <w:sz w:val="20"/>
      <w:szCs w:val="20"/>
      <w:lang w:eastAsia="en-US"/>
    </w:rPr>
  </w:style>
  <w:style w:type="paragraph" w:customStyle="1" w:styleId="Default">
    <w:name w:val="Default"/>
    <w:rsid w:val="005648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1658E"/>
  </w:style>
  <w:style w:type="paragraph" w:styleId="Header">
    <w:name w:val="header"/>
    <w:basedOn w:val="Normal"/>
    <w:link w:val="HeaderChar"/>
    <w:uiPriority w:val="99"/>
    <w:unhideWhenUsed/>
    <w:rsid w:val="00527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735F"/>
    <w:rPr>
      <w:rFonts w:ascii="Arial" w:eastAsia="Times New Roman" w:hAnsi="Arial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7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35F"/>
    <w:rPr>
      <w:rFonts w:ascii="Arial" w:eastAsia="Times New Roman" w:hAnsi="Arial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437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CA"/>
    </w:rPr>
  </w:style>
  <w:style w:type="character" w:styleId="Strong">
    <w:name w:val="Strong"/>
    <w:uiPriority w:val="22"/>
    <w:qFormat/>
    <w:locked/>
    <w:rsid w:val="00D437A6"/>
    <w:rPr>
      <w:b/>
      <w:bCs/>
    </w:rPr>
  </w:style>
  <w:style w:type="paragraph" w:styleId="Revision">
    <w:name w:val="Revision"/>
    <w:hidden/>
    <w:uiPriority w:val="99"/>
    <w:semiHidden/>
    <w:rsid w:val="00165841"/>
    <w:rPr>
      <w:rFonts w:ascii="Arial" w:eastAsia="Times New Roman" w:hAnsi="Arial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46683"/>
    <w:rPr>
      <w:rFonts w:ascii="Arial" w:eastAsiaTheme="majorEastAsia" w:hAnsi="Arial" w:cstheme="majorBidi"/>
      <w:color w:val="365F91" w:themeColor="accent1" w:themeShade="BF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24668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246683"/>
    <w:rPr>
      <w:rFonts w:ascii="Arial" w:eastAsiaTheme="minorEastAsia" w:hAnsi="Arial" w:cstheme="minorBidi"/>
      <w:color w:val="5A5A5A" w:themeColor="text1" w:themeTint="A5"/>
      <w:spacing w:val="15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246683"/>
    <w:rPr>
      <w:rFonts w:ascii="Arial" w:eastAsiaTheme="majorEastAsia" w:hAnsi="Arial" w:cstheme="majorBidi"/>
      <w:color w:val="365F91" w:themeColor="accent1" w:themeShade="BF"/>
      <w:sz w:val="28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170A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E170A9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E170A9"/>
    <w:pPr>
      <w:spacing w:after="100"/>
      <w:ind w:left="220"/>
    </w:pPr>
  </w:style>
  <w:style w:type="paragraph" w:styleId="Caption">
    <w:name w:val="caption"/>
    <w:basedOn w:val="Normal"/>
    <w:next w:val="Normal"/>
    <w:unhideWhenUsed/>
    <w:qFormat/>
    <w:locked/>
    <w:rsid w:val="00E9504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196E8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paragraph" w:customStyle="1" w:styleId="Heading30">
    <w:name w:val="Heading 3.0"/>
    <w:basedOn w:val="Heading3"/>
    <w:qFormat/>
    <w:rsid w:val="00196E85"/>
  </w:style>
  <w:style w:type="paragraph" w:styleId="TOC3">
    <w:name w:val="toc 3"/>
    <w:basedOn w:val="Normal"/>
    <w:next w:val="Normal"/>
    <w:autoRedefine/>
    <w:uiPriority w:val="39"/>
    <w:locked/>
    <w:rsid w:val="00DB0F44"/>
    <w:pPr>
      <w:spacing w:after="100"/>
      <w:ind w:left="440"/>
    </w:pPr>
  </w:style>
  <w:style w:type="paragraph" w:styleId="NormalIndent">
    <w:name w:val="Normal Indent"/>
    <w:basedOn w:val="Normal"/>
    <w:uiPriority w:val="99"/>
    <w:unhideWhenUsed/>
    <w:rsid w:val="001079CB"/>
    <w:pPr>
      <w:ind w:left="720"/>
    </w:pPr>
  </w:style>
  <w:style w:type="paragraph" w:customStyle="1" w:styleId="xmsonormal">
    <w:name w:val="x_msonormal"/>
    <w:basedOn w:val="Normal"/>
    <w:rsid w:val="000C1869"/>
    <w:rPr>
      <w:rFonts w:ascii="Calibri" w:eastAsiaTheme="minorHAnsi" w:hAnsi="Calibri" w:cs="Calibri"/>
      <w:szCs w:val="22"/>
      <w:lang w:val="en-US"/>
    </w:rPr>
  </w:style>
  <w:style w:type="paragraph" w:customStyle="1" w:styleId="xheading30">
    <w:name w:val="x_heading30"/>
    <w:basedOn w:val="Normal"/>
    <w:rsid w:val="000C1869"/>
    <w:pPr>
      <w:keepNext/>
      <w:jc w:val="both"/>
    </w:pPr>
    <w:rPr>
      <w:rFonts w:eastAsiaTheme="minorHAnsi" w:cs="Arial"/>
      <w:b/>
      <w:bCs/>
      <w:sz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21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2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23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96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627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trentu.ca?subject=AODA%202017%20Annual%20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ess@trentu.ca?subject=AODA%202017%20Annual%20Repor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C7E8-BD28-488A-BFB0-D528FE41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AODA Update 2019</vt:lpstr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AODA Update 2019</dc:title>
  <dc:subject/>
  <dc:creator>jeff</dc:creator>
  <cp:keywords/>
  <dc:description/>
  <cp:lastModifiedBy>Andrea Walsh</cp:lastModifiedBy>
  <cp:revision>2</cp:revision>
  <cp:lastPrinted>2019-01-21T19:51:00Z</cp:lastPrinted>
  <dcterms:created xsi:type="dcterms:W3CDTF">2022-02-02T17:59:00Z</dcterms:created>
  <dcterms:modified xsi:type="dcterms:W3CDTF">2022-02-02T17:59:00Z</dcterms:modified>
</cp:coreProperties>
</file>