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E938F" w14:textId="77777777" w:rsidR="008E658C" w:rsidRDefault="002148D1" w:rsidP="000E652C">
      <w:pPr>
        <w:pStyle w:val="Title"/>
        <w:jc w:val="center"/>
      </w:pPr>
      <w:r>
        <w:t>Trent University</w:t>
      </w:r>
    </w:p>
    <w:p w14:paraId="39DFC3EC" w14:textId="77777777" w:rsidR="002148D1" w:rsidRDefault="002148D1" w:rsidP="000E652C">
      <w:pPr>
        <w:pStyle w:val="Title"/>
        <w:jc w:val="center"/>
      </w:pPr>
      <w:r>
        <w:t>AODA Multi-Year Accessibility Plan - 2017-2022</w:t>
      </w:r>
    </w:p>
    <w:sdt>
      <w:sdtPr>
        <w:rPr>
          <w:rFonts w:ascii="Arial" w:eastAsiaTheme="minorHAnsi" w:hAnsi="Arial" w:cstheme="minorBidi"/>
          <w:color w:val="auto"/>
          <w:sz w:val="24"/>
          <w:szCs w:val="22"/>
        </w:rPr>
        <w:id w:val="1523046859"/>
        <w:docPartObj>
          <w:docPartGallery w:val="Table of Contents"/>
          <w:docPartUnique/>
        </w:docPartObj>
      </w:sdtPr>
      <w:sdtEndPr>
        <w:rPr>
          <w:rFonts w:asciiTheme="minorHAnsi" w:hAnsiTheme="minorHAnsi"/>
          <w:b/>
          <w:bCs/>
          <w:sz w:val="22"/>
        </w:rPr>
      </w:sdtEndPr>
      <w:sdtContent>
        <w:p w14:paraId="586BFF96" w14:textId="77777777" w:rsidR="003A28AA" w:rsidRPr="004F50DF" w:rsidRDefault="003A28AA">
          <w:pPr>
            <w:pStyle w:val="TOCHeading"/>
            <w:rPr>
              <w:rFonts w:ascii="Arial" w:hAnsi="Arial" w:cs="Arial"/>
              <w:color w:val="auto"/>
            </w:rPr>
          </w:pPr>
          <w:r w:rsidRPr="004F50DF">
            <w:rPr>
              <w:rFonts w:ascii="Arial" w:hAnsi="Arial" w:cs="Arial"/>
              <w:color w:val="auto"/>
            </w:rPr>
            <w:t>Table of Contents</w:t>
          </w:r>
        </w:p>
        <w:p w14:paraId="6466143B" w14:textId="77777777" w:rsidR="00DC1829" w:rsidRDefault="003A28AA">
          <w:pPr>
            <w:pStyle w:val="TOC1"/>
            <w:rPr>
              <w:rFonts w:eastAsiaTheme="minorEastAsia"/>
            </w:rPr>
          </w:pPr>
          <w:r>
            <w:fldChar w:fldCharType="begin"/>
          </w:r>
          <w:r>
            <w:instrText xml:space="preserve"> TOC \o "1-3" \h \z \u </w:instrText>
          </w:r>
          <w:r>
            <w:fldChar w:fldCharType="separate"/>
          </w:r>
          <w:hyperlink w:anchor="_Toc467746508" w:history="1">
            <w:r w:rsidR="00DC1829" w:rsidRPr="00E22CA0">
              <w:rPr>
                <w:rStyle w:val="Hyperlink"/>
              </w:rPr>
              <w:t>Statement of Commitment</w:t>
            </w:r>
            <w:r w:rsidR="00DC1829">
              <w:rPr>
                <w:webHidden/>
              </w:rPr>
              <w:tab/>
            </w:r>
            <w:r w:rsidR="00DC1829">
              <w:rPr>
                <w:webHidden/>
              </w:rPr>
              <w:fldChar w:fldCharType="begin"/>
            </w:r>
            <w:r w:rsidR="00DC1829">
              <w:rPr>
                <w:webHidden/>
              </w:rPr>
              <w:instrText xml:space="preserve"> PAGEREF _Toc467746508 \h </w:instrText>
            </w:r>
            <w:r w:rsidR="00DC1829">
              <w:rPr>
                <w:webHidden/>
              </w:rPr>
            </w:r>
            <w:r w:rsidR="00DC1829">
              <w:rPr>
                <w:webHidden/>
              </w:rPr>
              <w:fldChar w:fldCharType="separate"/>
            </w:r>
            <w:r w:rsidR="00DC1829">
              <w:rPr>
                <w:webHidden/>
              </w:rPr>
              <w:t>1</w:t>
            </w:r>
            <w:r w:rsidR="00DC1829">
              <w:rPr>
                <w:webHidden/>
              </w:rPr>
              <w:fldChar w:fldCharType="end"/>
            </w:r>
          </w:hyperlink>
        </w:p>
        <w:p w14:paraId="3B231917" w14:textId="77777777" w:rsidR="00DC1829" w:rsidRDefault="00F4020E">
          <w:pPr>
            <w:pStyle w:val="TOC1"/>
            <w:rPr>
              <w:rFonts w:eastAsiaTheme="minorEastAsia"/>
            </w:rPr>
          </w:pPr>
          <w:hyperlink w:anchor="_Toc467746509" w:history="1">
            <w:r w:rsidR="00DC1829" w:rsidRPr="00E22CA0">
              <w:rPr>
                <w:rStyle w:val="Hyperlink"/>
              </w:rPr>
              <w:t>AODA Background</w:t>
            </w:r>
            <w:r w:rsidR="00DC1829">
              <w:rPr>
                <w:webHidden/>
              </w:rPr>
              <w:tab/>
            </w:r>
            <w:r w:rsidR="00DC1829">
              <w:rPr>
                <w:webHidden/>
              </w:rPr>
              <w:fldChar w:fldCharType="begin"/>
            </w:r>
            <w:r w:rsidR="00DC1829">
              <w:rPr>
                <w:webHidden/>
              </w:rPr>
              <w:instrText xml:space="preserve"> PAGEREF _Toc467746509 \h </w:instrText>
            </w:r>
            <w:r w:rsidR="00DC1829">
              <w:rPr>
                <w:webHidden/>
              </w:rPr>
            </w:r>
            <w:r w:rsidR="00DC1829">
              <w:rPr>
                <w:webHidden/>
              </w:rPr>
              <w:fldChar w:fldCharType="separate"/>
            </w:r>
            <w:r w:rsidR="00DC1829">
              <w:rPr>
                <w:webHidden/>
              </w:rPr>
              <w:t>2</w:t>
            </w:r>
            <w:r w:rsidR="00DC1829">
              <w:rPr>
                <w:webHidden/>
              </w:rPr>
              <w:fldChar w:fldCharType="end"/>
            </w:r>
          </w:hyperlink>
        </w:p>
        <w:p w14:paraId="4C865249" w14:textId="77777777" w:rsidR="00DC1829" w:rsidRDefault="00F4020E">
          <w:pPr>
            <w:pStyle w:val="TOC1"/>
            <w:rPr>
              <w:rFonts w:eastAsiaTheme="minorEastAsia"/>
            </w:rPr>
          </w:pPr>
          <w:hyperlink w:anchor="_Toc467746510" w:history="1">
            <w:r w:rsidR="00DC1829" w:rsidRPr="00E22CA0">
              <w:rPr>
                <w:rStyle w:val="Hyperlink"/>
              </w:rPr>
              <w:t>Accessibility at Trent</w:t>
            </w:r>
            <w:r w:rsidR="00DC1829">
              <w:rPr>
                <w:webHidden/>
              </w:rPr>
              <w:tab/>
            </w:r>
            <w:r w:rsidR="00DC1829">
              <w:rPr>
                <w:webHidden/>
              </w:rPr>
              <w:fldChar w:fldCharType="begin"/>
            </w:r>
            <w:r w:rsidR="00DC1829">
              <w:rPr>
                <w:webHidden/>
              </w:rPr>
              <w:instrText xml:space="preserve"> PAGEREF _Toc467746510 \h </w:instrText>
            </w:r>
            <w:r w:rsidR="00DC1829">
              <w:rPr>
                <w:webHidden/>
              </w:rPr>
            </w:r>
            <w:r w:rsidR="00DC1829">
              <w:rPr>
                <w:webHidden/>
              </w:rPr>
              <w:fldChar w:fldCharType="separate"/>
            </w:r>
            <w:r w:rsidR="00DC1829">
              <w:rPr>
                <w:webHidden/>
              </w:rPr>
              <w:t>2</w:t>
            </w:r>
            <w:r w:rsidR="00DC1829">
              <w:rPr>
                <w:webHidden/>
              </w:rPr>
              <w:fldChar w:fldCharType="end"/>
            </w:r>
          </w:hyperlink>
        </w:p>
        <w:p w14:paraId="580F8692" w14:textId="77777777" w:rsidR="00DC1829" w:rsidRDefault="00F4020E">
          <w:pPr>
            <w:pStyle w:val="TOC3"/>
            <w:tabs>
              <w:tab w:val="right" w:pos="9350"/>
            </w:tabs>
            <w:rPr>
              <w:rFonts w:eastAsiaTheme="minorEastAsia"/>
            </w:rPr>
          </w:pPr>
          <w:hyperlink w:anchor="_Toc467746511" w:history="1">
            <w:r w:rsidR="00DC1829" w:rsidRPr="00E22CA0">
              <w:rPr>
                <w:rStyle w:val="Hyperlink"/>
              </w:rPr>
              <w:t>Centre for Human Rights, Equity and Accessibility</w:t>
            </w:r>
            <w:r w:rsidR="00DC1829">
              <w:rPr>
                <w:webHidden/>
              </w:rPr>
              <w:tab/>
            </w:r>
            <w:r w:rsidR="00DC1829">
              <w:rPr>
                <w:webHidden/>
              </w:rPr>
              <w:fldChar w:fldCharType="begin"/>
            </w:r>
            <w:r w:rsidR="00DC1829">
              <w:rPr>
                <w:webHidden/>
              </w:rPr>
              <w:instrText xml:space="preserve"> PAGEREF _Toc467746511 \h </w:instrText>
            </w:r>
            <w:r w:rsidR="00DC1829">
              <w:rPr>
                <w:webHidden/>
              </w:rPr>
            </w:r>
            <w:r w:rsidR="00DC1829">
              <w:rPr>
                <w:webHidden/>
              </w:rPr>
              <w:fldChar w:fldCharType="separate"/>
            </w:r>
            <w:r w:rsidR="00DC1829">
              <w:rPr>
                <w:webHidden/>
              </w:rPr>
              <w:t>2</w:t>
            </w:r>
            <w:r w:rsidR="00DC1829">
              <w:rPr>
                <w:webHidden/>
              </w:rPr>
              <w:fldChar w:fldCharType="end"/>
            </w:r>
          </w:hyperlink>
        </w:p>
        <w:p w14:paraId="66AA76E3" w14:textId="77777777" w:rsidR="00DC1829" w:rsidRDefault="00F4020E">
          <w:pPr>
            <w:pStyle w:val="TOC1"/>
            <w:rPr>
              <w:rFonts w:eastAsiaTheme="minorEastAsia"/>
            </w:rPr>
          </w:pPr>
          <w:hyperlink w:anchor="_Toc467746512" w:history="1">
            <w:r w:rsidR="00DC1829" w:rsidRPr="00E22CA0">
              <w:rPr>
                <w:rStyle w:val="Hyperlink"/>
              </w:rPr>
              <w:t>AODA Multi Year Accessibility Plan 2017-2022</w:t>
            </w:r>
            <w:r w:rsidR="00DC1829">
              <w:rPr>
                <w:webHidden/>
              </w:rPr>
              <w:tab/>
            </w:r>
            <w:r w:rsidR="00DC1829">
              <w:rPr>
                <w:webHidden/>
              </w:rPr>
              <w:fldChar w:fldCharType="begin"/>
            </w:r>
            <w:r w:rsidR="00DC1829">
              <w:rPr>
                <w:webHidden/>
              </w:rPr>
              <w:instrText xml:space="preserve"> PAGEREF _Toc467746512 \h </w:instrText>
            </w:r>
            <w:r w:rsidR="00DC1829">
              <w:rPr>
                <w:webHidden/>
              </w:rPr>
            </w:r>
            <w:r w:rsidR="00DC1829">
              <w:rPr>
                <w:webHidden/>
              </w:rPr>
              <w:fldChar w:fldCharType="separate"/>
            </w:r>
            <w:r w:rsidR="00DC1829">
              <w:rPr>
                <w:webHidden/>
              </w:rPr>
              <w:t>3</w:t>
            </w:r>
            <w:r w:rsidR="00DC1829">
              <w:rPr>
                <w:webHidden/>
              </w:rPr>
              <w:fldChar w:fldCharType="end"/>
            </w:r>
          </w:hyperlink>
        </w:p>
        <w:p w14:paraId="349FD93A" w14:textId="77777777" w:rsidR="00DC1829" w:rsidRDefault="00F4020E">
          <w:pPr>
            <w:pStyle w:val="TOC2"/>
            <w:tabs>
              <w:tab w:val="right" w:pos="9350"/>
            </w:tabs>
            <w:rPr>
              <w:rFonts w:eastAsiaTheme="minorEastAsia"/>
            </w:rPr>
          </w:pPr>
          <w:hyperlink w:anchor="_Toc467746513" w:history="1">
            <w:r w:rsidR="00DC1829" w:rsidRPr="00E22CA0">
              <w:rPr>
                <w:rStyle w:val="Hyperlink"/>
              </w:rPr>
              <w:t>Review and Monitoring</w:t>
            </w:r>
            <w:r w:rsidR="00DC1829">
              <w:rPr>
                <w:webHidden/>
              </w:rPr>
              <w:tab/>
            </w:r>
            <w:r w:rsidR="00DC1829">
              <w:rPr>
                <w:webHidden/>
              </w:rPr>
              <w:fldChar w:fldCharType="begin"/>
            </w:r>
            <w:r w:rsidR="00DC1829">
              <w:rPr>
                <w:webHidden/>
              </w:rPr>
              <w:instrText xml:space="preserve"> PAGEREF _Toc467746513 \h </w:instrText>
            </w:r>
            <w:r w:rsidR="00DC1829">
              <w:rPr>
                <w:webHidden/>
              </w:rPr>
            </w:r>
            <w:r w:rsidR="00DC1829">
              <w:rPr>
                <w:webHidden/>
              </w:rPr>
              <w:fldChar w:fldCharType="separate"/>
            </w:r>
            <w:r w:rsidR="00DC1829">
              <w:rPr>
                <w:webHidden/>
              </w:rPr>
              <w:t>3</w:t>
            </w:r>
            <w:r w:rsidR="00DC1829">
              <w:rPr>
                <w:webHidden/>
              </w:rPr>
              <w:fldChar w:fldCharType="end"/>
            </w:r>
          </w:hyperlink>
        </w:p>
        <w:p w14:paraId="735D5C16" w14:textId="77777777" w:rsidR="00DC1829" w:rsidRDefault="00F4020E">
          <w:pPr>
            <w:pStyle w:val="TOC2"/>
            <w:tabs>
              <w:tab w:val="right" w:pos="9350"/>
            </w:tabs>
            <w:rPr>
              <w:rFonts w:eastAsiaTheme="minorEastAsia"/>
            </w:rPr>
          </w:pPr>
          <w:hyperlink w:anchor="_Toc467746514" w:history="1">
            <w:r w:rsidR="00DC1829" w:rsidRPr="00E22CA0">
              <w:rPr>
                <w:rStyle w:val="Hyperlink"/>
              </w:rPr>
              <w:t>Measuring Plan Outcomes</w:t>
            </w:r>
            <w:r w:rsidR="00DC1829">
              <w:rPr>
                <w:webHidden/>
              </w:rPr>
              <w:tab/>
            </w:r>
            <w:r w:rsidR="00DC1829">
              <w:rPr>
                <w:webHidden/>
              </w:rPr>
              <w:fldChar w:fldCharType="begin"/>
            </w:r>
            <w:r w:rsidR="00DC1829">
              <w:rPr>
                <w:webHidden/>
              </w:rPr>
              <w:instrText xml:space="preserve"> PAGEREF _Toc467746514 \h </w:instrText>
            </w:r>
            <w:r w:rsidR="00DC1829">
              <w:rPr>
                <w:webHidden/>
              </w:rPr>
            </w:r>
            <w:r w:rsidR="00DC1829">
              <w:rPr>
                <w:webHidden/>
              </w:rPr>
              <w:fldChar w:fldCharType="separate"/>
            </w:r>
            <w:r w:rsidR="00DC1829">
              <w:rPr>
                <w:webHidden/>
              </w:rPr>
              <w:t>3</w:t>
            </w:r>
            <w:r w:rsidR="00DC1829">
              <w:rPr>
                <w:webHidden/>
              </w:rPr>
              <w:fldChar w:fldCharType="end"/>
            </w:r>
          </w:hyperlink>
        </w:p>
        <w:p w14:paraId="5FA2A5E9" w14:textId="77777777" w:rsidR="00DC1829" w:rsidRDefault="00F4020E">
          <w:pPr>
            <w:pStyle w:val="TOC2"/>
            <w:tabs>
              <w:tab w:val="right" w:pos="9350"/>
            </w:tabs>
            <w:rPr>
              <w:rFonts w:eastAsiaTheme="minorEastAsia"/>
            </w:rPr>
          </w:pPr>
          <w:hyperlink w:anchor="_Toc467746515" w:history="1">
            <w:r w:rsidR="00DC1829" w:rsidRPr="00E22CA0">
              <w:rPr>
                <w:rStyle w:val="Hyperlink"/>
              </w:rPr>
              <w:t>Communication of Plan</w:t>
            </w:r>
            <w:r w:rsidR="00DC1829">
              <w:rPr>
                <w:webHidden/>
              </w:rPr>
              <w:tab/>
            </w:r>
            <w:r w:rsidR="00DC1829">
              <w:rPr>
                <w:webHidden/>
              </w:rPr>
              <w:fldChar w:fldCharType="begin"/>
            </w:r>
            <w:r w:rsidR="00DC1829">
              <w:rPr>
                <w:webHidden/>
              </w:rPr>
              <w:instrText xml:space="preserve"> PAGEREF _Toc467746515 \h </w:instrText>
            </w:r>
            <w:r w:rsidR="00DC1829">
              <w:rPr>
                <w:webHidden/>
              </w:rPr>
            </w:r>
            <w:r w:rsidR="00DC1829">
              <w:rPr>
                <w:webHidden/>
              </w:rPr>
              <w:fldChar w:fldCharType="separate"/>
            </w:r>
            <w:r w:rsidR="00DC1829">
              <w:rPr>
                <w:webHidden/>
              </w:rPr>
              <w:t>3</w:t>
            </w:r>
            <w:r w:rsidR="00DC1829">
              <w:rPr>
                <w:webHidden/>
              </w:rPr>
              <w:fldChar w:fldCharType="end"/>
            </w:r>
          </w:hyperlink>
        </w:p>
        <w:p w14:paraId="7DC3C777" w14:textId="77777777" w:rsidR="00DC1829" w:rsidRDefault="00F4020E">
          <w:pPr>
            <w:pStyle w:val="TOC2"/>
            <w:tabs>
              <w:tab w:val="right" w:pos="9350"/>
            </w:tabs>
            <w:rPr>
              <w:rFonts w:eastAsiaTheme="minorEastAsia"/>
            </w:rPr>
          </w:pPr>
          <w:hyperlink w:anchor="_Toc467746516" w:history="1">
            <w:r w:rsidR="00DC1829" w:rsidRPr="00E22CA0">
              <w:rPr>
                <w:rStyle w:val="Hyperlink"/>
              </w:rPr>
              <w:t>Plan Formats</w:t>
            </w:r>
            <w:r w:rsidR="00DC1829">
              <w:rPr>
                <w:webHidden/>
              </w:rPr>
              <w:tab/>
            </w:r>
            <w:r w:rsidR="00DC1829">
              <w:rPr>
                <w:webHidden/>
              </w:rPr>
              <w:fldChar w:fldCharType="begin"/>
            </w:r>
            <w:r w:rsidR="00DC1829">
              <w:rPr>
                <w:webHidden/>
              </w:rPr>
              <w:instrText xml:space="preserve"> PAGEREF _Toc467746516 \h </w:instrText>
            </w:r>
            <w:r w:rsidR="00DC1829">
              <w:rPr>
                <w:webHidden/>
              </w:rPr>
            </w:r>
            <w:r w:rsidR="00DC1829">
              <w:rPr>
                <w:webHidden/>
              </w:rPr>
              <w:fldChar w:fldCharType="separate"/>
            </w:r>
            <w:r w:rsidR="00DC1829">
              <w:rPr>
                <w:webHidden/>
              </w:rPr>
              <w:t>4</w:t>
            </w:r>
            <w:r w:rsidR="00DC1829">
              <w:rPr>
                <w:webHidden/>
              </w:rPr>
              <w:fldChar w:fldCharType="end"/>
            </w:r>
          </w:hyperlink>
        </w:p>
        <w:p w14:paraId="5AC808AE" w14:textId="77777777" w:rsidR="00DC1829" w:rsidRDefault="00F4020E">
          <w:pPr>
            <w:pStyle w:val="TOC2"/>
            <w:tabs>
              <w:tab w:val="right" w:pos="9350"/>
            </w:tabs>
            <w:rPr>
              <w:rFonts w:eastAsiaTheme="minorEastAsia"/>
            </w:rPr>
          </w:pPr>
          <w:hyperlink w:anchor="_Toc467746517" w:history="1">
            <w:r w:rsidR="00DC1829" w:rsidRPr="00E22CA0">
              <w:rPr>
                <w:rStyle w:val="Hyperlink"/>
              </w:rPr>
              <w:t>Feedback, Questions or Comments</w:t>
            </w:r>
            <w:r w:rsidR="00DC1829">
              <w:rPr>
                <w:webHidden/>
              </w:rPr>
              <w:tab/>
            </w:r>
            <w:r w:rsidR="00DC1829">
              <w:rPr>
                <w:webHidden/>
              </w:rPr>
              <w:fldChar w:fldCharType="begin"/>
            </w:r>
            <w:r w:rsidR="00DC1829">
              <w:rPr>
                <w:webHidden/>
              </w:rPr>
              <w:instrText xml:space="preserve"> PAGEREF _Toc467746517 \h </w:instrText>
            </w:r>
            <w:r w:rsidR="00DC1829">
              <w:rPr>
                <w:webHidden/>
              </w:rPr>
            </w:r>
            <w:r w:rsidR="00DC1829">
              <w:rPr>
                <w:webHidden/>
              </w:rPr>
              <w:fldChar w:fldCharType="separate"/>
            </w:r>
            <w:r w:rsidR="00DC1829">
              <w:rPr>
                <w:webHidden/>
              </w:rPr>
              <w:t>4</w:t>
            </w:r>
            <w:r w:rsidR="00DC1829">
              <w:rPr>
                <w:webHidden/>
              </w:rPr>
              <w:fldChar w:fldCharType="end"/>
            </w:r>
          </w:hyperlink>
        </w:p>
        <w:p w14:paraId="4701DD24" w14:textId="77777777" w:rsidR="00DC1829" w:rsidRDefault="00F4020E">
          <w:pPr>
            <w:pStyle w:val="TOC2"/>
            <w:tabs>
              <w:tab w:val="right" w:pos="9350"/>
            </w:tabs>
            <w:rPr>
              <w:rFonts w:eastAsiaTheme="minorEastAsia"/>
            </w:rPr>
          </w:pPr>
          <w:hyperlink w:anchor="_Toc467746518" w:history="1">
            <w:r w:rsidR="00DC1829" w:rsidRPr="00E22CA0">
              <w:rPr>
                <w:rStyle w:val="Hyperlink"/>
              </w:rPr>
              <w:t>Summary of AODA Requirements and Compliance Status</w:t>
            </w:r>
            <w:r w:rsidR="00DC1829">
              <w:rPr>
                <w:webHidden/>
              </w:rPr>
              <w:tab/>
            </w:r>
            <w:r w:rsidR="00DC1829">
              <w:rPr>
                <w:webHidden/>
              </w:rPr>
              <w:fldChar w:fldCharType="begin"/>
            </w:r>
            <w:r w:rsidR="00DC1829">
              <w:rPr>
                <w:webHidden/>
              </w:rPr>
              <w:instrText xml:space="preserve"> PAGEREF _Toc467746518 \h </w:instrText>
            </w:r>
            <w:r w:rsidR="00DC1829">
              <w:rPr>
                <w:webHidden/>
              </w:rPr>
            </w:r>
            <w:r w:rsidR="00DC1829">
              <w:rPr>
                <w:webHidden/>
              </w:rPr>
              <w:fldChar w:fldCharType="separate"/>
            </w:r>
            <w:r w:rsidR="00DC1829">
              <w:rPr>
                <w:webHidden/>
              </w:rPr>
              <w:t>5</w:t>
            </w:r>
            <w:r w:rsidR="00DC1829">
              <w:rPr>
                <w:webHidden/>
              </w:rPr>
              <w:fldChar w:fldCharType="end"/>
            </w:r>
          </w:hyperlink>
        </w:p>
        <w:p w14:paraId="2D8D976E" w14:textId="77777777" w:rsidR="00DC1829" w:rsidRDefault="00F4020E">
          <w:pPr>
            <w:pStyle w:val="TOC2"/>
            <w:tabs>
              <w:tab w:val="right" w:pos="9350"/>
            </w:tabs>
            <w:rPr>
              <w:rFonts w:eastAsiaTheme="minorEastAsia"/>
            </w:rPr>
          </w:pPr>
          <w:hyperlink w:anchor="_Toc467746519" w:history="1">
            <w:r w:rsidR="00DC1829" w:rsidRPr="00E22CA0">
              <w:rPr>
                <w:rStyle w:val="Hyperlink"/>
              </w:rPr>
              <w:t>Planned Action/Strategies to Meet AODA Requirements</w:t>
            </w:r>
            <w:r w:rsidR="00DC1829">
              <w:rPr>
                <w:webHidden/>
              </w:rPr>
              <w:tab/>
            </w:r>
            <w:r w:rsidR="00DC1829">
              <w:rPr>
                <w:webHidden/>
              </w:rPr>
              <w:fldChar w:fldCharType="begin"/>
            </w:r>
            <w:r w:rsidR="00DC1829">
              <w:rPr>
                <w:webHidden/>
              </w:rPr>
              <w:instrText xml:space="preserve"> PAGEREF _Toc467746519 \h </w:instrText>
            </w:r>
            <w:r w:rsidR="00DC1829">
              <w:rPr>
                <w:webHidden/>
              </w:rPr>
            </w:r>
            <w:r w:rsidR="00DC1829">
              <w:rPr>
                <w:webHidden/>
              </w:rPr>
              <w:fldChar w:fldCharType="separate"/>
            </w:r>
            <w:r w:rsidR="00DC1829">
              <w:rPr>
                <w:webHidden/>
              </w:rPr>
              <w:t>7</w:t>
            </w:r>
            <w:r w:rsidR="00DC1829">
              <w:rPr>
                <w:webHidden/>
              </w:rPr>
              <w:fldChar w:fldCharType="end"/>
            </w:r>
          </w:hyperlink>
        </w:p>
        <w:p w14:paraId="2BF71946" w14:textId="77777777" w:rsidR="00DC1829" w:rsidRDefault="00F4020E">
          <w:pPr>
            <w:pStyle w:val="TOC3"/>
            <w:tabs>
              <w:tab w:val="right" w:pos="9350"/>
            </w:tabs>
            <w:rPr>
              <w:rFonts w:eastAsiaTheme="minorEastAsia"/>
            </w:rPr>
          </w:pPr>
          <w:hyperlink w:anchor="_Toc467746520" w:history="1">
            <w:r w:rsidR="00DC1829" w:rsidRPr="004F50DF">
              <w:rPr>
                <w:rStyle w:val="Hyperlink"/>
              </w:rPr>
              <w:t>Upcoming Requirements</w:t>
            </w:r>
            <w:r w:rsidR="00DC1829">
              <w:rPr>
                <w:webHidden/>
              </w:rPr>
              <w:tab/>
            </w:r>
            <w:r w:rsidR="00DC1829">
              <w:rPr>
                <w:webHidden/>
              </w:rPr>
              <w:fldChar w:fldCharType="begin"/>
            </w:r>
            <w:r w:rsidR="00DC1829">
              <w:rPr>
                <w:webHidden/>
              </w:rPr>
              <w:instrText xml:space="preserve"> PAGEREF _Toc467746520 \h </w:instrText>
            </w:r>
            <w:r w:rsidR="00DC1829">
              <w:rPr>
                <w:webHidden/>
              </w:rPr>
            </w:r>
            <w:r w:rsidR="00DC1829">
              <w:rPr>
                <w:webHidden/>
              </w:rPr>
              <w:fldChar w:fldCharType="separate"/>
            </w:r>
            <w:r w:rsidR="00DC1829">
              <w:rPr>
                <w:webHidden/>
              </w:rPr>
              <w:t>7</w:t>
            </w:r>
            <w:r w:rsidR="00DC1829">
              <w:rPr>
                <w:webHidden/>
              </w:rPr>
              <w:fldChar w:fldCharType="end"/>
            </w:r>
          </w:hyperlink>
        </w:p>
        <w:p w14:paraId="419162C1" w14:textId="77777777" w:rsidR="00DC1829" w:rsidRDefault="00F4020E">
          <w:pPr>
            <w:pStyle w:val="TOC3"/>
            <w:tabs>
              <w:tab w:val="right" w:pos="9350"/>
            </w:tabs>
            <w:rPr>
              <w:rFonts w:eastAsiaTheme="minorEastAsia"/>
            </w:rPr>
          </w:pPr>
          <w:hyperlink w:anchor="_Toc467746521" w:history="1">
            <w:r w:rsidR="00DC1829" w:rsidRPr="004F50DF">
              <w:rPr>
                <w:rStyle w:val="Hyperlink"/>
              </w:rPr>
              <w:t>Ongoing and Previous Requirements</w:t>
            </w:r>
            <w:r w:rsidR="00DC1829">
              <w:rPr>
                <w:webHidden/>
              </w:rPr>
              <w:tab/>
            </w:r>
            <w:r w:rsidR="00DC1829">
              <w:rPr>
                <w:webHidden/>
              </w:rPr>
              <w:fldChar w:fldCharType="begin"/>
            </w:r>
            <w:r w:rsidR="00DC1829">
              <w:rPr>
                <w:webHidden/>
              </w:rPr>
              <w:instrText xml:space="preserve"> PAGEREF _Toc467746521 \h </w:instrText>
            </w:r>
            <w:r w:rsidR="00DC1829">
              <w:rPr>
                <w:webHidden/>
              </w:rPr>
            </w:r>
            <w:r w:rsidR="00DC1829">
              <w:rPr>
                <w:webHidden/>
              </w:rPr>
              <w:fldChar w:fldCharType="separate"/>
            </w:r>
            <w:r w:rsidR="00DC1829">
              <w:rPr>
                <w:webHidden/>
              </w:rPr>
              <w:t>9</w:t>
            </w:r>
            <w:r w:rsidR="00DC1829">
              <w:rPr>
                <w:webHidden/>
              </w:rPr>
              <w:fldChar w:fldCharType="end"/>
            </w:r>
          </w:hyperlink>
        </w:p>
        <w:p w14:paraId="0186552B" w14:textId="77777777" w:rsidR="00DC1829" w:rsidRDefault="00F4020E">
          <w:pPr>
            <w:pStyle w:val="TOC2"/>
            <w:tabs>
              <w:tab w:val="right" w:pos="9350"/>
            </w:tabs>
            <w:rPr>
              <w:rFonts w:eastAsiaTheme="minorEastAsia"/>
            </w:rPr>
          </w:pPr>
          <w:hyperlink w:anchor="_Toc467746522" w:history="1">
            <w:r w:rsidR="00DC1829" w:rsidRPr="00E22CA0">
              <w:rPr>
                <w:rStyle w:val="Hyperlink"/>
              </w:rPr>
              <w:t>Resources</w:t>
            </w:r>
            <w:r w:rsidR="00DC1829">
              <w:rPr>
                <w:webHidden/>
              </w:rPr>
              <w:tab/>
            </w:r>
            <w:r w:rsidR="00DC1829">
              <w:rPr>
                <w:webHidden/>
              </w:rPr>
              <w:fldChar w:fldCharType="begin"/>
            </w:r>
            <w:r w:rsidR="00DC1829">
              <w:rPr>
                <w:webHidden/>
              </w:rPr>
              <w:instrText xml:space="preserve"> PAGEREF _Toc467746522 \h </w:instrText>
            </w:r>
            <w:r w:rsidR="00DC1829">
              <w:rPr>
                <w:webHidden/>
              </w:rPr>
            </w:r>
            <w:r w:rsidR="00DC1829">
              <w:rPr>
                <w:webHidden/>
              </w:rPr>
              <w:fldChar w:fldCharType="separate"/>
            </w:r>
            <w:r w:rsidR="00DC1829">
              <w:rPr>
                <w:webHidden/>
              </w:rPr>
              <w:t>21</w:t>
            </w:r>
            <w:r w:rsidR="00DC1829">
              <w:rPr>
                <w:webHidden/>
              </w:rPr>
              <w:fldChar w:fldCharType="end"/>
            </w:r>
          </w:hyperlink>
        </w:p>
        <w:p w14:paraId="75C2A1D8" w14:textId="77777777" w:rsidR="003A28AA" w:rsidRPr="003A28AA" w:rsidRDefault="003A28AA" w:rsidP="00A71567">
          <w:r>
            <w:rPr>
              <w:b/>
              <w:bCs/>
            </w:rPr>
            <w:fldChar w:fldCharType="end"/>
          </w:r>
        </w:p>
      </w:sdtContent>
    </w:sdt>
    <w:p w14:paraId="46C7C831" w14:textId="77777777" w:rsidR="00712803" w:rsidRDefault="00712803" w:rsidP="00CF5D94">
      <w:pPr>
        <w:pStyle w:val="Heading1"/>
      </w:pPr>
      <w:bookmarkStart w:id="0" w:name="_Toc467746508"/>
      <w:r>
        <w:t>Statement of Commitment</w:t>
      </w:r>
      <w:bookmarkEnd w:id="0"/>
      <w:r>
        <w:t xml:space="preserve"> </w:t>
      </w:r>
    </w:p>
    <w:p w14:paraId="7957C8DA" w14:textId="77777777" w:rsidR="00712803" w:rsidRPr="00E679A8" w:rsidRDefault="00712803" w:rsidP="00E679A8">
      <w:r>
        <w:t xml:space="preserve">Trent University’s mission includes encouraging and celebrating excellence </w:t>
      </w:r>
      <w:r w:rsidR="00AB2198">
        <w:t>and innovation</w:t>
      </w:r>
      <w:r>
        <w:t xml:space="preserve"> in teaching, learning, </w:t>
      </w:r>
      <w:r>
        <w:rPr>
          <w:spacing w:val="-2"/>
        </w:rPr>
        <w:t>research</w:t>
      </w:r>
      <w:r>
        <w:t xml:space="preserve"> and student</w:t>
      </w:r>
      <w:r>
        <w:rPr>
          <w:spacing w:val="-3"/>
        </w:rPr>
        <w:t xml:space="preserve"> </w:t>
      </w:r>
      <w:r>
        <w:t>development as</w:t>
      </w:r>
      <w:r>
        <w:rPr>
          <w:spacing w:val="68"/>
        </w:rPr>
        <w:t xml:space="preserve"> </w:t>
      </w:r>
      <w:r>
        <w:t>well as promoting a culture which engages all members of the</w:t>
      </w:r>
      <w:r>
        <w:rPr>
          <w:spacing w:val="1"/>
        </w:rPr>
        <w:t xml:space="preserve"> </w:t>
      </w:r>
      <w:r>
        <w:t>Trent community, favours dialogue and collegiality, and nurtures a sense of belonging.</w:t>
      </w:r>
    </w:p>
    <w:p w14:paraId="37C15738" w14:textId="77777777" w:rsidR="00712803" w:rsidRPr="00E679A8" w:rsidRDefault="00712803" w:rsidP="00E679A8">
      <w:r>
        <w:t>In fulfilling our mission, the</w:t>
      </w:r>
      <w:r>
        <w:rPr>
          <w:spacing w:val="-2"/>
        </w:rPr>
        <w:t xml:space="preserve"> </w:t>
      </w:r>
      <w:r>
        <w:t>University strives at all times to</w:t>
      </w:r>
      <w:r>
        <w:rPr>
          <w:spacing w:val="1"/>
        </w:rPr>
        <w:t xml:space="preserve"> </w:t>
      </w:r>
      <w:r>
        <w:t>provide its goods and</w:t>
      </w:r>
      <w:r>
        <w:rPr>
          <w:spacing w:val="-2"/>
        </w:rPr>
        <w:t xml:space="preserve"> </w:t>
      </w:r>
      <w:r>
        <w:t>services in a</w:t>
      </w:r>
      <w:r>
        <w:rPr>
          <w:spacing w:val="-2"/>
        </w:rPr>
        <w:t xml:space="preserve"> </w:t>
      </w:r>
      <w:r>
        <w:t>way that respects the dignity and independence of people</w:t>
      </w:r>
      <w:r>
        <w:rPr>
          <w:spacing w:val="71"/>
        </w:rPr>
        <w:t xml:space="preserve"> </w:t>
      </w:r>
      <w:r>
        <w:t>with disabilities. The</w:t>
      </w:r>
      <w:r>
        <w:rPr>
          <w:spacing w:val="-2"/>
        </w:rPr>
        <w:t xml:space="preserve"> </w:t>
      </w:r>
      <w:r>
        <w:t>University is</w:t>
      </w:r>
      <w:r>
        <w:rPr>
          <w:spacing w:val="-2"/>
        </w:rPr>
        <w:t xml:space="preserve"> </w:t>
      </w:r>
      <w:r>
        <w:t>committed to giving people with disabilities the same opportunity to access our goods and</w:t>
      </w:r>
      <w:r>
        <w:rPr>
          <w:spacing w:val="-2"/>
        </w:rPr>
        <w:t xml:space="preserve"> </w:t>
      </w:r>
      <w:r>
        <w:t>services and allowing people</w:t>
      </w:r>
      <w:r>
        <w:rPr>
          <w:spacing w:val="73"/>
        </w:rPr>
        <w:t xml:space="preserve"> </w:t>
      </w:r>
      <w:r>
        <w:t>with disabilities to benefit from the same</w:t>
      </w:r>
      <w:r>
        <w:rPr>
          <w:spacing w:val="-2"/>
        </w:rPr>
        <w:t xml:space="preserve"> </w:t>
      </w:r>
      <w:r>
        <w:t>services, in the same place and in a similar way as</w:t>
      </w:r>
      <w:r>
        <w:rPr>
          <w:spacing w:val="-2"/>
        </w:rPr>
        <w:t xml:space="preserve"> </w:t>
      </w:r>
      <w:r>
        <w:t>others benefit. This includes the provision of integrated</w:t>
      </w:r>
      <w:r>
        <w:rPr>
          <w:spacing w:val="39"/>
        </w:rPr>
        <w:t xml:space="preserve"> </w:t>
      </w:r>
      <w:r>
        <w:t>services unless an alternate measure is</w:t>
      </w:r>
      <w:r>
        <w:rPr>
          <w:spacing w:val="-2"/>
        </w:rPr>
        <w:t xml:space="preserve"> </w:t>
      </w:r>
      <w:r>
        <w:t xml:space="preserve">necessary to enable a person with a </w:t>
      </w:r>
      <w:r>
        <w:rPr>
          <w:spacing w:val="-2"/>
        </w:rPr>
        <w:t>disability</w:t>
      </w:r>
      <w:r>
        <w:t xml:space="preserve"> to obtain, use or benefit from goods or</w:t>
      </w:r>
      <w:r>
        <w:rPr>
          <w:spacing w:val="1"/>
        </w:rPr>
        <w:t xml:space="preserve"> </w:t>
      </w:r>
      <w:r>
        <w:t>services.</w:t>
      </w:r>
    </w:p>
    <w:p w14:paraId="0F3BDB49" w14:textId="77777777" w:rsidR="00712803" w:rsidRDefault="00712803" w:rsidP="00E679A8">
      <w:pPr>
        <w:rPr>
          <w:i/>
        </w:rPr>
      </w:pPr>
      <w:r>
        <w:t>The University is committed to meeting the needs of people</w:t>
      </w:r>
      <w:r>
        <w:rPr>
          <w:spacing w:val="-2"/>
        </w:rPr>
        <w:t xml:space="preserve"> </w:t>
      </w:r>
      <w:r>
        <w:t>with disabilities in a timely manner, and will do</w:t>
      </w:r>
      <w:r>
        <w:rPr>
          <w:spacing w:val="-2"/>
        </w:rPr>
        <w:t xml:space="preserve"> </w:t>
      </w:r>
      <w:r>
        <w:t>so by preventing</w:t>
      </w:r>
      <w:r>
        <w:rPr>
          <w:spacing w:val="1"/>
        </w:rPr>
        <w:t xml:space="preserve"> </w:t>
      </w:r>
      <w:r>
        <w:t>and removing barriers to</w:t>
      </w:r>
      <w:r>
        <w:rPr>
          <w:spacing w:val="63"/>
        </w:rPr>
        <w:t xml:space="preserve"> </w:t>
      </w:r>
      <w:r>
        <w:t>accessibility and meeting accessibility requirements</w:t>
      </w:r>
      <w:r>
        <w:rPr>
          <w:spacing w:val="-2"/>
        </w:rPr>
        <w:t xml:space="preserve"> </w:t>
      </w:r>
      <w:r>
        <w:t xml:space="preserve">under the </w:t>
      </w:r>
      <w:r>
        <w:rPr>
          <w:i/>
        </w:rPr>
        <w:t>Accessibility for</w:t>
      </w:r>
      <w:r>
        <w:rPr>
          <w:i/>
          <w:spacing w:val="-2"/>
        </w:rPr>
        <w:t xml:space="preserve"> </w:t>
      </w:r>
      <w:r>
        <w:rPr>
          <w:i/>
        </w:rPr>
        <w:t>Ontarians</w:t>
      </w:r>
      <w:r>
        <w:rPr>
          <w:i/>
          <w:spacing w:val="-2"/>
        </w:rPr>
        <w:t xml:space="preserve"> </w:t>
      </w:r>
      <w:r>
        <w:rPr>
          <w:i/>
        </w:rPr>
        <w:t>with Disabilities</w:t>
      </w:r>
      <w:r>
        <w:rPr>
          <w:i/>
          <w:spacing w:val="-2"/>
        </w:rPr>
        <w:t xml:space="preserve"> </w:t>
      </w:r>
      <w:r>
        <w:rPr>
          <w:i/>
        </w:rPr>
        <w:t>Act (AODA).</w:t>
      </w:r>
    </w:p>
    <w:p w14:paraId="06582E21" w14:textId="77777777" w:rsidR="00E679A8" w:rsidRDefault="00E679A8" w:rsidP="001F7C7F">
      <w:pPr>
        <w:pStyle w:val="BodyText"/>
        <w:ind w:right="230"/>
      </w:pPr>
    </w:p>
    <w:p w14:paraId="7FEE5AB6" w14:textId="77777777" w:rsidR="00E679A8" w:rsidRDefault="00E679A8" w:rsidP="00CF5D94">
      <w:pPr>
        <w:pStyle w:val="Heading1"/>
      </w:pPr>
      <w:bookmarkStart w:id="1" w:name="_Toc467746509"/>
      <w:r w:rsidRPr="00E679A8">
        <w:rPr>
          <w:rStyle w:val="Heading2Char"/>
        </w:rPr>
        <w:lastRenderedPageBreak/>
        <w:t>AODA Background</w:t>
      </w:r>
      <w:bookmarkEnd w:id="1"/>
      <w:r>
        <w:t xml:space="preserve"> </w:t>
      </w:r>
    </w:p>
    <w:p w14:paraId="761AF731" w14:textId="77777777" w:rsidR="00E679A8" w:rsidRDefault="00E679A8" w:rsidP="00E679A8">
      <w:r>
        <w:t>In 2005, the Ontario legislature passed</w:t>
      </w:r>
      <w:r>
        <w:rPr>
          <w:spacing w:val="-2"/>
        </w:rPr>
        <w:t xml:space="preserve"> </w:t>
      </w:r>
      <w:r>
        <w:t xml:space="preserve">the </w:t>
      </w:r>
      <w:r>
        <w:rPr>
          <w:i/>
        </w:rPr>
        <w:t>Accessibility for Ontarians with</w:t>
      </w:r>
      <w:r>
        <w:rPr>
          <w:i/>
          <w:spacing w:val="-2"/>
        </w:rPr>
        <w:t xml:space="preserve"> </w:t>
      </w:r>
      <w:r>
        <w:rPr>
          <w:i/>
        </w:rPr>
        <w:t>Disabilities Act</w:t>
      </w:r>
      <w:r>
        <w:rPr>
          <w:i/>
          <w:spacing w:val="-2"/>
        </w:rPr>
        <w:t xml:space="preserve"> </w:t>
      </w:r>
      <w:r w:rsidRPr="0016413C">
        <w:rPr>
          <w:i/>
        </w:rPr>
        <w:t>(AODA)</w:t>
      </w:r>
      <w:r>
        <w:t>.</w:t>
      </w:r>
      <w:r>
        <w:rPr>
          <w:spacing w:val="54"/>
        </w:rPr>
        <w:t xml:space="preserve"> </w:t>
      </w:r>
      <w:r>
        <w:t>This piece of leg</w:t>
      </w:r>
      <w:r w:rsidR="001C1B5D">
        <w:t>islation was designed to promote</w:t>
      </w:r>
      <w:r>
        <w:t xml:space="preserve"> full</w:t>
      </w:r>
      <w:r>
        <w:rPr>
          <w:spacing w:val="95"/>
        </w:rPr>
        <w:t xml:space="preserve"> </w:t>
      </w:r>
      <w:r>
        <w:t>participation</w:t>
      </w:r>
      <w:r>
        <w:rPr>
          <w:spacing w:val="-2"/>
        </w:rPr>
        <w:t xml:space="preserve"> </w:t>
      </w:r>
      <w:r>
        <w:t>o</w:t>
      </w:r>
      <w:r w:rsidR="000D08A2">
        <w:t xml:space="preserve">f </w:t>
      </w:r>
      <w:r>
        <w:t>persons with disabilities</w:t>
      </w:r>
      <w:r>
        <w:rPr>
          <w:spacing w:val="-2"/>
        </w:rPr>
        <w:t xml:space="preserve"> </w:t>
      </w:r>
      <w:r>
        <w:t>in all facets of</w:t>
      </w:r>
      <w:r>
        <w:rPr>
          <w:spacing w:val="-3"/>
        </w:rPr>
        <w:t xml:space="preserve"> </w:t>
      </w:r>
      <w:r>
        <w:t>life in Ontario through the</w:t>
      </w:r>
      <w:r>
        <w:rPr>
          <w:spacing w:val="-2"/>
        </w:rPr>
        <w:t xml:space="preserve"> </w:t>
      </w:r>
      <w:r>
        <w:t>identification,</w:t>
      </w:r>
      <w:r>
        <w:rPr>
          <w:spacing w:val="-3"/>
        </w:rPr>
        <w:t xml:space="preserve"> </w:t>
      </w:r>
      <w:r>
        <w:t>removal and prevention</w:t>
      </w:r>
      <w:r>
        <w:rPr>
          <w:spacing w:val="1"/>
        </w:rPr>
        <w:t xml:space="preserve"> </w:t>
      </w:r>
      <w:r>
        <w:t>of barriers to access.</w:t>
      </w:r>
      <w:r>
        <w:rPr>
          <w:spacing w:val="54"/>
        </w:rPr>
        <w:t xml:space="preserve"> </w:t>
      </w:r>
      <w:r>
        <w:t>The Act</w:t>
      </w:r>
      <w:r>
        <w:rPr>
          <w:spacing w:val="94"/>
        </w:rPr>
        <w:t xml:space="preserve"> </w:t>
      </w:r>
      <w:r>
        <w:t>consisted of five standards (Customer Service, Information &amp; Communication, Transportation,</w:t>
      </w:r>
      <w:r>
        <w:rPr>
          <w:spacing w:val="-3"/>
        </w:rPr>
        <w:t xml:space="preserve"> </w:t>
      </w:r>
      <w:r>
        <w:t>Employment, and Built Environment).</w:t>
      </w:r>
      <w:r>
        <w:rPr>
          <w:spacing w:val="55"/>
        </w:rPr>
        <w:t xml:space="preserve"> </w:t>
      </w:r>
      <w:r>
        <w:t>In 2009, the Customer Service Standard came into law.</w:t>
      </w:r>
      <w:r>
        <w:rPr>
          <w:spacing w:val="54"/>
        </w:rPr>
        <w:t xml:space="preserve"> </w:t>
      </w:r>
      <w:r>
        <w:t>The Ontario legislature has</w:t>
      </w:r>
      <w:r>
        <w:rPr>
          <w:spacing w:val="-2"/>
        </w:rPr>
        <w:t xml:space="preserve"> </w:t>
      </w:r>
      <w:r>
        <w:t xml:space="preserve">since amalgamated </w:t>
      </w:r>
      <w:r w:rsidR="001C1B5D">
        <w:t>all</w:t>
      </w:r>
      <w:r>
        <w:t xml:space="preserve"> of the</w:t>
      </w:r>
      <w:r w:rsidR="001C1B5D">
        <w:t xml:space="preserve"> standards</w:t>
      </w:r>
      <w:r>
        <w:t xml:space="preserve"> into one standard, the </w:t>
      </w:r>
      <w:r w:rsidRPr="0016413C">
        <w:rPr>
          <w:i/>
        </w:rPr>
        <w:t xml:space="preserve">Integrated </w:t>
      </w:r>
      <w:r w:rsidR="00325190" w:rsidRPr="0016413C">
        <w:rPr>
          <w:i/>
        </w:rPr>
        <w:t xml:space="preserve">Accessibility </w:t>
      </w:r>
      <w:r w:rsidRPr="0016413C">
        <w:rPr>
          <w:i/>
        </w:rPr>
        <w:t>Standards</w:t>
      </w:r>
      <w:r w:rsidR="00325190" w:rsidRPr="0016413C">
        <w:rPr>
          <w:i/>
        </w:rPr>
        <w:t xml:space="preserve"> Regulation (IASR)</w:t>
      </w:r>
      <w:r w:rsidRPr="0016413C">
        <w:rPr>
          <w:i/>
        </w:rPr>
        <w:t>,</w:t>
      </w:r>
      <w:r>
        <w:t xml:space="preserve"> which came into law as of January 2012. </w:t>
      </w:r>
    </w:p>
    <w:p w14:paraId="038A1568" w14:textId="77777777" w:rsidR="00E679A8" w:rsidRDefault="00E679A8" w:rsidP="00E679A8">
      <w:r>
        <w:t>Since initial</w:t>
      </w:r>
      <w:r w:rsidR="0020759F">
        <w:t>ly</w:t>
      </w:r>
      <w:r>
        <w:t xml:space="preserve"> enacted into law, the Customer Service Standard has been reviewed at a provincial level,</w:t>
      </w:r>
      <w:r w:rsidR="00325190">
        <w:t xml:space="preserve"> as required by the legislation. </w:t>
      </w:r>
      <w:r w:rsidR="004940D8">
        <w:t>As a result of these reviews t</w:t>
      </w:r>
      <w:r w:rsidR="00325190">
        <w:t>here were a number</w:t>
      </w:r>
      <w:r>
        <w:t xml:space="preserve"> changes to the content of the Customer Service Standard </w:t>
      </w:r>
      <w:r w:rsidR="00C97CD0">
        <w:t>enacted on</w:t>
      </w:r>
      <w:r>
        <w:t xml:space="preserve"> July 1, 2016. As required</w:t>
      </w:r>
      <w:r w:rsidR="00325190">
        <w:t>,</w:t>
      </w:r>
      <w:r>
        <w:t xml:space="preserve"> the Transportation Standard is currently under provincial review and committees to review the Employment and Information and Communications Standards are expected to be struck in late 2016. </w:t>
      </w:r>
      <w:r w:rsidR="00E16E40">
        <w:t xml:space="preserve">A development committee to address the new Health Care Standard is expected to be created in late 2016 as well. </w:t>
      </w:r>
    </w:p>
    <w:p w14:paraId="6363DAF8" w14:textId="77777777" w:rsidR="00E679A8" w:rsidRDefault="00325190" w:rsidP="00E679A8">
      <w:r>
        <w:rPr>
          <w:spacing w:val="-1"/>
        </w:rPr>
        <w:t xml:space="preserve">In </w:t>
      </w:r>
      <w:r w:rsidR="0020759F">
        <w:rPr>
          <w:spacing w:val="-1"/>
        </w:rPr>
        <w:t>fulfilling</w:t>
      </w:r>
      <w:r w:rsidR="00797D59">
        <w:rPr>
          <w:spacing w:val="-1"/>
        </w:rPr>
        <w:t xml:space="preserve"> </w:t>
      </w:r>
      <w:r w:rsidR="000D5636">
        <w:rPr>
          <w:spacing w:val="-1"/>
        </w:rPr>
        <w:t xml:space="preserve">the requirements of the </w:t>
      </w:r>
      <w:r w:rsidR="000D5636" w:rsidRPr="0016413C">
        <w:rPr>
          <w:i/>
          <w:spacing w:val="-1"/>
        </w:rPr>
        <w:t>IASR</w:t>
      </w:r>
      <w:r w:rsidR="00E16E40">
        <w:rPr>
          <w:spacing w:val="-1"/>
        </w:rPr>
        <w:t xml:space="preserve">, Trent </w:t>
      </w:r>
      <w:r w:rsidR="0020759F">
        <w:rPr>
          <w:spacing w:val="-1"/>
        </w:rPr>
        <w:t>developed the AODA 2012-2017 Multi-Year Accessibility Plan</w:t>
      </w:r>
      <w:r w:rsidR="00F862DC">
        <w:rPr>
          <w:spacing w:val="-1"/>
        </w:rPr>
        <w:t xml:space="preserve"> (MYP)</w:t>
      </w:r>
      <w:r w:rsidR="0020759F">
        <w:rPr>
          <w:spacing w:val="-1"/>
        </w:rPr>
        <w:t xml:space="preserve"> and </w:t>
      </w:r>
      <w:r w:rsidR="00E16E40">
        <w:rPr>
          <w:spacing w:val="-1"/>
        </w:rPr>
        <w:t>reviews, on an ongoing basis,</w:t>
      </w:r>
      <w:r w:rsidR="00E679A8">
        <w:rPr>
          <w:spacing w:val="-1"/>
        </w:rPr>
        <w:t xml:space="preserve"> its</w:t>
      </w:r>
      <w:r w:rsidR="00E679A8">
        <w:t xml:space="preserve"> </w:t>
      </w:r>
      <w:r w:rsidR="00E679A8">
        <w:rPr>
          <w:spacing w:val="-1"/>
        </w:rPr>
        <w:t>policies, practices,</w:t>
      </w:r>
      <w:r w:rsidR="00E679A8">
        <w:rPr>
          <w:spacing w:val="-3"/>
        </w:rPr>
        <w:t xml:space="preserve"> </w:t>
      </w:r>
      <w:r w:rsidR="00E679A8">
        <w:t>facilities</w:t>
      </w:r>
      <w:r w:rsidR="00E679A8">
        <w:rPr>
          <w:spacing w:val="-1"/>
        </w:rPr>
        <w:t xml:space="preserve"> and services</w:t>
      </w:r>
      <w:r w:rsidR="0020759F">
        <w:rPr>
          <w:spacing w:val="-1"/>
        </w:rPr>
        <w:t>.</w:t>
      </w:r>
      <w:r w:rsidR="00E679A8">
        <w:t xml:space="preserve"> </w:t>
      </w:r>
      <w:r w:rsidR="00E679A8">
        <w:rPr>
          <w:spacing w:val="-1"/>
        </w:rPr>
        <w:t>This</w:t>
      </w:r>
      <w:r w:rsidR="00E16E40">
        <w:rPr>
          <w:spacing w:val="-1"/>
        </w:rPr>
        <w:t xml:space="preserve"> </w:t>
      </w:r>
      <w:r w:rsidR="009B4374">
        <w:rPr>
          <w:spacing w:val="-1"/>
        </w:rPr>
        <w:t xml:space="preserve">plan </w:t>
      </w:r>
      <w:r w:rsidR="000D5636">
        <w:rPr>
          <w:spacing w:val="-1"/>
        </w:rPr>
        <w:t>has</w:t>
      </w:r>
      <w:r w:rsidR="009B4374">
        <w:rPr>
          <w:spacing w:val="-1"/>
        </w:rPr>
        <w:t xml:space="preserve"> serve</w:t>
      </w:r>
      <w:r w:rsidR="009510ED">
        <w:rPr>
          <w:spacing w:val="-1"/>
        </w:rPr>
        <w:t>s</w:t>
      </w:r>
      <w:r w:rsidR="00E679A8">
        <w:rPr>
          <w:spacing w:val="-1"/>
        </w:rPr>
        <w:t xml:space="preserve"> as </w:t>
      </w:r>
      <w:r w:rsidR="00E679A8">
        <w:t>a</w:t>
      </w:r>
      <w:r w:rsidR="00E679A8">
        <w:rPr>
          <w:spacing w:val="-1"/>
        </w:rPr>
        <w:t xml:space="preserve"> template for Trent </w:t>
      </w:r>
      <w:r w:rsidR="00E679A8">
        <w:t>to</w:t>
      </w:r>
      <w:r w:rsidR="00E679A8">
        <w:rPr>
          <w:spacing w:val="-1"/>
        </w:rPr>
        <w:t xml:space="preserve"> </w:t>
      </w:r>
      <w:r w:rsidR="00E679A8">
        <w:t>review</w:t>
      </w:r>
      <w:r w:rsidR="00E679A8">
        <w:rPr>
          <w:spacing w:val="-2"/>
        </w:rPr>
        <w:t xml:space="preserve"> </w:t>
      </w:r>
      <w:r w:rsidR="00E679A8">
        <w:t>and</w:t>
      </w:r>
      <w:r w:rsidR="00E679A8">
        <w:rPr>
          <w:spacing w:val="-1"/>
        </w:rPr>
        <w:t xml:space="preserve"> redress barriers</w:t>
      </w:r>
      <w:r w:rsidR="00E679A8">
        <w:rPr>
          <w:spacing w:val="59"/>
        </w:rPr>
        <w:t xml:space="preserve"> </w:t>
      </w:r>
      <w:r w:rsidR="009B4374">
        <w:rPr>
          <w:spacing w:val="-1"/>
        </w:rPr>
        <w:t>and help ensure</w:t>
      </w:r>
      <w:r w:rsidR="00E679A8">
        <w:rPr>
          <w:spacing w:val="1"/>
        </w:rPr>
        <w:t xml:space="preserve"> </w:t>
      </w:r>
      <w:r w:rsidR="00E679A8">
        <w:rPr>
          <w:spacing w:val="-1"/>
        </w:rPr>
        <w:t>that new policies, procedures, facilities and</w:t>
      </w:r>
      <w:r w:rsidR="00E679A8">
        <w:rPr>
          <w:spacing w:val="-2"/>
        </w:rPr>
        <w:t xml:space="preserve"> </w:t>
      </w:r>
      <w:r w:rsidR="00E679A8">
        <w:rPr>
          <w:spacing w:val="-1"/>
        </w:rPr>
        <w:t>services</w:t>
      </w:r>
      <w:r w:rsidR="009B4374">
        <w:rPr>
          <w:spacing w:val="-2"/>
        </w:rPr>
        <w:t xml:space="preserve"> t</w:t>
      </w:r>
      <w:r w:rsidR="009510ED">
        <w:rPr>
          <w:spacing w:val="-2"/>
        </w:rPr>
        <w:t>ake</w:t>
      </w:r>
      <w:r w:rsidR="00E679A8">
        <w:rPr>
          <w:spacing w:val="-1"/>
        </w:rPr>
        <w:t xml:space="preserve"> into account the </w:t>
      </w:r>
      <w:r w:rsidR="00E679A8">
        <w:rPr>
          <w:spacing w:val="-2"/>
        </w:rPr>
        <w:t>needs</w:t>
      </w:r>
      <w:r w:rsidR="00E679A8">
        <w:t xml:space="preserve"> </w:t>
      </w:r>
      <w:r w:rsidR="00E679A8">
        <w:rPr>
          <w:spacing w:val="-1"/>
        </w:rPr>
        <w:t>and</w:t>
      </w:r>
      <w:r w:rsidR="009B4374">
        <w:rPr>
          <w:spacing w:val="68"/>
        </w:rPr>
        <w:t xml:space="preserve"> </w:t>
      </w:r>
      <w:r w:rsidR="00E679A8">
        <w:rPr>
          <w:spacing w:val="-1"/>
        </w:rPr>
        <w:t>rights of persons</w:t>
      </w:r>
      <w:r w:rsidR="00E679A8">
        <w:rPr>
          <w:spacing w:val="-2"/>
        </w:rPr>
        <w:t xml:space="preserve"> </w:t>
      </w:r>
      <w:r w:rsidR="00E679A8">
        <w:rPr>
          <w:spacing w:val="-1"/>
        </w:rPr>
        <w:t>with d</w:t>
      </w:r>
      <w:r w:rsidR="005E7B61">
        <w:rPr>
          <w:spacing w:val="-1"/>
        </w:rPr>
        <w:t>isabilities in accordance with the</w:t>
      </w:r>
      <w:r w:rsidR="00E679A8">
        <w:rPr>
          <w:spacing w:val="-1"/>
        </w:rPr>
        <w:t xml:space="preserve"> </w:t>
      </w:r>
      <w:r w:rsidR="00E679A8">
        <w:rPr>
          <w:spacing w:val="-2"/>
        </w:rPr>
        <w:t>requirements</w:t>
      </w:r>
      <w:r w:rsidR="00E679A8">
        <w:rPr>
          <w:spacing w:val="-1"/>
        </w:rPr>
        <w:t xml:space="preserve"> of the </w:t>
      </w:r>
      <w:r w:rsidR="00E679A8" w:rsidRPr="0016413C">
        <w:rPr>
          <w:i/>
          <w:spacing w:val="-1"/>
        </w:rPr>
        <w:t>AODA</w:t>
      </w:r>
      <w:r w:rsidR="00E679A8">
        <w:rPr>
          <w:spacing w:val="-1"/>
        </w:rPr>
        <w:t>.</w:t>
      </w:r>
    </w:p>
    <w:p w14:paraId="08D45209" w14:textId="77777777" w:rsidR="00E679A8" w:rsidRDefault="00E16E40" w:rsidP="00E679A8">
      <w:r>
        <w:t xml:space="preserve">Trent is now moving forward with </w:t>
      </w:r>
      <w:r w:rsidR="00E32C83">
        <w:t>developing</w:t>
      </w:r>
      <w:r w:rsidR="00797D59">
        <w:t xml:space="preserve"> </w:t>
      </w:r>
      <w:r>
        <w:t>its second five-year AODA Multi-Year Accessibility Pl</w:t>
      </w:r>
      <w:r w:rsidR="005E7B61">
        <w:t xml:space="preserve">an which </w:t>
      </w:r>
      <w:r w:rsidR="00797D59">
        <w:t xml:space="preserve">will span the period </w:t>
      </w:r>
      <w:r>
        <w:t>January 2017</w:t>
      </w:r>
      <w:r w:rsidR="00E32C83">
        <w:t>-</w:t>
      </w:r>
      <w:r>
        <w:t xml:space="preserve"> December 2022. </w:t>
      </w:r>
    </w:p>
    <w:p w14:paraId="545BD2FF" w14:textId="77777777" w:rsidR="009B4374" w:rsidRDefault="009B4374" w:rsidP="00CF5D94">
      <w:pPr>
        <w:pStyle w:val="Heading1"/>
      </w:pPr>
      <w:bookmarkStart w:id="2" w:name="_Toc467746510"/>
      <w:r>
        <w:t>Accessibility at Trent</w:t>
      </w:r>
      <w:bookmarkEnd w:id="2"/>
    </w:p>
    <w:p w14:paraId="61BA7586" w14:textId="77777777" w:rsidR="00DB7214" w:rsidRPr="00635A34" w:rsidRDefault="009B4374" w:rsidP="00635A34">
      <w:r>
        <w:t>Accessibility is a shared responsibility and ensuring that Trent community members of all abilit</w:t>
      </w:r>
      <w:r w:rsidR="005E7B61">
        <w:t>ies have</w:t>
      </w:r>
      <w:r>
        <w:t xml:space="preserve"> positive, respectful and dignified experience</w:t>
      </w:r>
      <w:r w:rsidR="00DB7214">
        <w:t>s while learning, working or visiting at Trent has been a priority that has been embraced across department</w:t>
      </w:r>
      <w:r w:rsidR="005E7B61">
        <w:t>s</w:t>
      </w:r>
      <w:r w:rsidR="00DB7214">
        <w:t xml:space="preserve"> and discipline</w:t>
      </w:r>
      <w:r w:rsidR="005E7B61">
        <w:t>s</w:t>
      </w:r>
      <w:r w:rsidR="00DB7214">
        <w:t xml:space="preserve"> and </w:t>
      </w:r>
      <w:r w:rsidR="004940D8">
        <w:t>at</w:t>
      </w:r>
      <w:r w:rsidR="00DB7214">
        <w:t xml:space="preserve"> all levels of the </w:t>
      </w:r>
      <w:r w:rsidR="005E7B61">
        <w:t>organization</w:t>
      </w:r>
      <w:r w:rsidR="00DB7214">
        <w:t xml:space="preserve">. </w:t>
      </w:r>
    </w:p>
    <w:p w14:paraId="493B7D4E" w14:textId="77777777" w:rsidR="00DB7214" w:rsidRDefault="00DB7214" w:rsidP="00C43361">
      <w:pPr>
        <w:pStyle w:val="Heading2"/>
      </w:pPr>
      <w:bookmarkStart w:id="3" w:name="_Toc467746511"/>
      <w:r>
        <w:t>Centre for Human Rights, Equity and Accessibility</w:t>
      </w:r>
      <w:bookmarkEnd w:id="3"/>
      <w:r>
        <w:t xml:space="preserve"> </w:t>
      </w:r>
      <w:r w:rsidR="00EC6211">
        <w:t xml:space="preserve"> </w:t>
      </w:r>
    </w:p>
    <w:p w14:paraId="0A42FB32" w14:textId="77777777" w:rsidR="00DB7214" w:rsidRDefault="00DB7214" w:rsidP="00DB7214">
      <w:r>
        <w:t>I</w:t>
      </w:r>
      <w:r w:rsidR="00635A34">
        <w:t xml:space="preserve">n </w:t>
      </w:r>
      <w:r>
        <w:t>20</w:t>
      </w:r>
      <w:r w:rsidR="00635A34">
        <w:t xml:space="preserve">14, </w:t>
      </w:r>
      <w:r>
        <w:t>The Office of Human Rights and Accessibility underwent a restructuring that saw its transformation into a Centre</w:t>
      </w:r>
      <w:r w:rsidR="00EC6211">
        <w:t xml:space="preserve"> for Human Rights, Equity and Accessibility (CHREA)</w:t>
      </w:r>
      <w:r>
        <w:t xml:space="preserve">.  </w:t>
      </w:r>
      <w:r w:rsidR="00AC50EF">
        <w:t xml:space="preserve">The Centre is staffed by a </w:t>
      </w:r>
      <w:r>
        <w:t>part-time Human Rights Advisor</w:t>
      </w:r>
      <w:r w:rsidR="00AC50EF">
        <w:t>, a</w:t>
      </w:r>
      <w:r w:rsidR="004940D8">
        <w:t xml:space="preserve"> </w:t>
      </w:r>
      <w:r>
        <w:t>part-time Special Projects Coordinator</w:t>
      </w:r>
      <w:r w:rsidR="00AC50EF">
        <w:t xml:space="preserve"> and, as of </w:t>
      </w:r>
      <w:r>
        <w:t>May 2016, a full-time Accessibility Advisor</w:t>
      </w:r>
      <w:r w:rsidR="0004147D">
        <w:t xml:space="preserve"> (the Advisor)</w:t>
      </w:r>
      <w:r w:rsidR="00AC50EF">
        <w:t>. The Advisor</w:t>
      </w:r>
      <w:r w:rsidR="0078774B">
        <w:t xml:space="preserve"> </w:t>
      </w:r>
      <w:r>
        <w:t xml:space="preserve">coordinates Trent’s response to the </w:t>
      </w:r>
      <w:r w:rsidRPr="0016413C">
        <w:rPr>
          <w:i/>
        </w:rPr>
        <w:t>AODA</w:t>
      </w:r>
      <w:r>
        <w:t xml:space="preserve"> </w:t>
      </w:r>
      <w:r w:rsidR="00635A34">
        <w:t xml:space="preserve">and advises on matters of institutional accessibility. </w:t>
      </w:r>
    </w:p>
    <w:p w14:paraId="46AB692E" w14:textId="77777777" w:rsidR="00ED3D65" w:rsidRPr="00ED3D65" w:rsidRDefault="0004147D" w:rsidP="0016413C">
      <w:r>
        <w:t xml:space="preserve">Accessibility Subcommittee </w:t>
      </w:r>
    </w:p>
    <w:p w14:paraId="38EEF682" w14:textId="77777777" w:rsidR="00B05EFE" w:rsidRDefault="0004147D" w:rsidP="00B05EFE">
      <w:r>
        <w:t xml:space="preserve">The Advisor works with, and supports, the efforts of the Accessibility Subcommittee-a subcommittee of </w:t>
      </w:r>
      <w:r w:rsidR="008F31D7" w:rsidRPr="007832F7">
        <w:t>The</w:t>
      </w:r>
      <w:r w:rsidR="005E7B61" w:rsidRPr="0004147D">
        <w:t xml:space="preserve"> Presidential Advisory Council on Human Rights, Equity and Accessibility (PACHREA)</w:t>
      </w:r>
      <w:r>
        <w:t>. This subcommittee</w:t>
      </w:r>
      <w:r w:rsidR="005E7B61" w:rsidRPr="0004147D">
        <w:t xml:space="preserve"> </w:t>
      </w:r>
      <w:r w:rsidR="005E4A07">
        <w:t xml:space="preserve">identifies and makes recommendations on </w:t>
      </w:r>
      <w:r w:rsidR="005E7B61" w:rsidRPr="0004147D">
        <w:t xml:space="preserve">issues of accessibility </w:t>
      </w:r>
      <w:r>
        <w:t xml:space="preserve">in a number of areas including </w:t>
      </w:r>
      <w:r w:rsidR="005E7B61" w:rsidRPr="0004147D">
        <w:t>policy development and promoting awareness and education on issues of accessibility.</w:t>
      </w:r>
      <w:r w:rsidR="005E7B61">
        <w:t xml:space="preserve"> </w:t>
      </w:r>
    </w:p>
    <w:p w14:paraId="4273A92D" w14:textId="77777777" w:rsidR="00B05EFE" w:rsidRDefault="006D5B0B" w:rsidP="00CF5D94">
      <w:pPr>
        <w:pStyle w:val="Heading1"/>
      </w:pPr>
      <w:bookmarkStart w:id="4" w:name="_Toc467746512"/>
      <w:r>
        <w:lastRenderedPageBreak/>
        <w:t>AODA Multi Year Accessibility Plan</w:t>
      </w:r>
      <w:r w:rsidR="00F862DC">
        <w:t xml:space="preserve"> 2017-2022</w:t>
      </w:r>
      <w:bookmarkEnd w:id="4"/>
    </w:p>
    <w:p w14:paraId="6A2DF5EB" w14:textId="77777777" w:rsidR="00F54094" w:rsidRDefault="006D5B0B" w:rsidP="00CF5D94">
      <w:r>
        <w:t xml:space="preserve">Barrier Identification Methodology </w:t>
      </w:r>
      <w:r w:rsidR="00F417A5">
        <w:t xml:space="preserve">There are a number of new requirements coming into force over the next five year period. </w:t>
      </w:r>
      <w:r>
        <w:t xml:space="preserve">This </w:t>
      </w:r>
      <w:r w:rsidR="00F417A5">
        <w:t>MYP</w:t>
      </w:r>
      <w:r w:rsidR="00681491">
        <w:t xml:space="preserve"> </w:t>
      </w:r>
      <w:r>
        <w:t>was develop</w:t>
      </w:r>
      <w:r w:rsidR="007832F7">
        <w:t>ed</w:t>
      </w:r>
      <w:r>
        <w:t xml:space="preserve"> </w:t>
      </w:r>
      <w:r w:rsidR="000648C1">
        <w:t>following</w:t>
      </w:r>
      <w:r w:rsidR="0016413C">
        <w:t xml:space="preserve"> consultation with</w:t>
      </w:r>
      <w:r>
        <w:t xml:space="preserve"> departments </w:t>
      </w:r>
      <w:r w:rsidR="00F417A5">
        <w:t>that will be most impacted by these changes.</w:t>
      </w:r>
      <w:r>
        <w:t xml:space="preserve"> </w:t>
      </w:r>
      <w:r w:rsidR="004940D8">
        <w:t>These included</w:t>
      </w:r>
      <w:r w:rsidR="00D23835">
        <w:t xml:space="preserve"> </w:t>
      </w:r>
      <w:r w:rsidR="00F417A5">
        <w:t xml:space="preserve">the </w:t>
      </w:r>
      <w:r>
        <w:t>Bata Library and Marketing and Communications (Web Team). Consultation was also held with Facilities Man</w:t>
      </w:r>
      <w:r w:rsidR="00D23835">
        <w:t>agement</w:t>
      </w:r>
      <w:r>
        <w:t xml:space="preserve"> in order </w:t>
      </w:r>
      <w:r w:rsidR="00D23835">
        <w:t xml:space="preserve">to update </w:t>
      </w:r>
      <w:r>
        <w:t xml:space="preserve">the plan in relation to the Design of Public Spaces Standard which came into effect for public sector organizations such as Trent in 2016, but was not fully developed at a provincial level for the first Multi-Year Accessibility Plan. </w:t>
      </w:r>
      <w:r w:rsidR="00D23835">
        <w:t xml:space="preserve">Input </w:t>
      </w:r>
      <w:r w:rsidR="004940D8">
        <w:t xml:space="preserve">received </w:t>
      </w:r>
      <w:r w:rsidR="00D23835">
        <w:t xml:space="preserve">from departments was </w:t>
      </w:r>
      <w:r w:rsidR="004940D8">
        <w:t xml:space="preserve">reviewed by </w:t>
      </w:r>
      <w:r w:rsidR="00D23835">
        <w:t xml:space="preserve">the AODA Multi-Year Accessibility Plan Working Group and subsequently </w:t>
      </w:r>
      <w:r w:rsidR="004940D8">
        <w:t xml:space="preserve">by </w:t>
      </w:r>
      <w:r w:rsidR="00D23835">
        <w:t>its parent group the PACHREA Accessibility Subcommittee. Departments/Groups represented on the PACHREA Accessibility Subcommittee include: Risk Management, Facilities Management, Libraries, Student Accessibility Services, Human Resources, Finance, Business and Math Depa</w:t>
      </w:r>
      <w:r w:rsidR="002B7EAC">
        <w:t>rtments, TUFA, Durham Campus as well as</w:t>
      </w:r>
      <w:r w:rsidR="00D23835">
        <w:t xml:space="preserve"> </w:t>
      </w:r>
      <w:r w:rsidR="004940D8">
        <w:t xml:space="preserve">an </w:t>
      </w:r>
      <w:r w:rsidR="00D23835">
        <w:t>extern</w:t>
      </w:r>
      <w:r w:rsidR="00F54094">
        <w:t>al representative from Fleming College.</w:t>
      </w:r>
    </w:p>
    <w:p w14:paraId="004018A8" w14:textId="77777777" w:rsidR="002B7EAC" w:rsidRDefault="00D23835" w:rsidP="00F54094">
      <w:pPr>
        <w:pStyle w:val="Heading2"/>
      </w:pPr>
      <w:bookmarkStart w:id="5" w:name="_Toc467746513"/>
      <w:r>
        <w:t>Review and Monitoring</w:t>
      </w:r>
      <w:bookmarkEnd w:id="5"/>
    </w:p>
    <w:p w14:paraId="35FEA82B" w14:textId="77777777" w:rsidR="00D23835" w:rsidRDefault="002B7EAC" w:rsidP="00CF5D94">
      <w:r>
        <w:t xml:space="preserve">The 2017-2022 Multi-Year Accessibility Plan will be monitored and reviewed by the Advisor and any </w:t>
      </w:r>
      <w:r w:rsidR="00681491">
        <w:t xml:space="preserve">required revisions </w:t>
      </w:r>
      <w:r>
        <w:t xml:space="preserve">will be </w:t>
      </w:r>
      <w:r w:rsidR="00681491">
        <w:t xml:space="preserve">reviewed by the members of the </w:t>
      </w:r>
      <w:r>
        <w:t>Accessibility Subcommittee</w:t>
      </w:r>
      <w:r w:rsidR="00681491">
        <w:t>. S</w:t>
      </w:r>
      <w:r>
        <w:t xml:space="preserve">ignificant </w:t>
      </w:r>
      <w:r w:rsidR="00681491">
        <w:t xml:space="preserve">revisions </w:t>
      </w:r>
      <w:r>
        <w:t xml:space="preserve">will be reviewed by </w:t>
      </w:r>
      <w:r w:rsidR="00681491">
        <w:t>senior management.</w:t>
      </w:r>
      <w:r>
        <w:t xml:space="preserve"> </w:t>
      </w:r>
      <w:r w:rsidR="00D23835">
        <w:t xml:space="preserve"> </w:t>
      </w:r>
    </w:p>
    <w:p w14:paraId="058649E0" w14:textId="77777777" w:rsidR="00033EB1" w:rsidRDefault="00033EB1" w:rsidP="00CF5D94">
      <w:pPr>
        <w:pStyle w:val="Heading2"/>
      </w:pPr>
      <w:bookmarkStart w:id="6" w:name="_Toc467746514"/>
      <w:r>
        <w:t>Measuring Plan Outcomes</w:t>
      </w:r>
      <w:bookmarkEnd w:id="6"/>
    </w:p>
    <w:p w14:paraId="0BCCC67C" w14:textId="77777777" w:rsidR="00033EB1" w:rsidRPr="00E81087" w:rsidRDefault="00033EB1" w:rsidP="00CF5D94">
      <w:r>
        <w:t xml:space="preserve">The primary mechanism for evaluating plan-related outcomes is through ongoing communication between identified departmental champions and the Advisor. </w:t>
      </w:r>
      <w:r w:rsidR="00E81087">
        <w:t xml:space="preserve">The plan is a living document that is subject to change as Trent continues to strives to build an inclusive community. As the </w:t>
      </w:r>
      <w:r w:rsidR="00E81087" w:rsidRPr="00CF5D94">
        <w:rPr>
          <w:i/>
        </w:rPr>
        <w:t>AODA</w:t>
      </w:r>
      <w:r w:rsidR="00E81087">
        <w:rPr>
          <w:i/>
        </w:rPr>
        <w:t xml:space="preserve"> </w:t>
      </w:r>
      <w:r w:rsidR="00E81087" w:rsidRPr="00CF5D94">
        <w:t>continues to develop over time the plan may also be fine-</w:t>
      </w:r>
      <w:r w:rsidR="00E81087" w:rsidRPr="00E81087">
        <w:t>tuned.</w:t>
      </w:r>
      <w:r w:rsidR="00E81087" w:rsidRPr="00CF5D94">
        <w:t xml:space="preserve"> </w:t>
      </w:r>
    </w:p>
    <w:p w14:paraId="49E727B0" w14:textId="77777777" w:rsidR="00D23835" w:rsidRDefault="00D23835" w:rsidP="00CF5D94">
      <w:pPr>
        <w:pStyle w:val="Heading2"/>
      </w:pPr>
      <w:bookmarkStart w:id="7" w:name="_Toc467746515"/>
      <w:r>
        <w:t>Communication of Plan</w:t>
      </w:r>
      <w:bookmarkEnd w:id="7"/>
    </w:p>
    <w:p w14:paraId="43EA5DF5" w14:textId="77777777" w:rsidR="002B7EAC" w:rsidRDefault="002B7EAC" w:rsidP="002B7EAC">
      <w:r>
        <w:t xml:space="preserve">This current plan will be released to the wider university community </w:t>
      </w:r>
      <w:r w:rsidR="00681491">
        <w:t xml:space="preserve">following </w:t>
      </w:r>
      <w:r>
        <w:t xml:space="preserve">approval </w:t>
      </w:r>
      <w:r w:rsidR="00681491">
        <w:t>by</w:t>
      </w:r>
      <w:r>
        <w:t xml:space="preserve"> the Presidents/Vice</w:t>
      </w:r>
      <w:r w:rsidR="00CC66DA">
        <w:t>-</w:t>
      </w:r>
      <w:r>
        <w:t>Presidents’ Committee</w:t>
      </w:r>
      <w:r w:rsidR="00681491">
        <w:t>.</w:t>
      </w:r>
      <w:r>
        <w:t xml:space="preserve"> </w:t>
      </w:r>
    </w:p>
    <w:p w14:paraId="112363BD" w14:textId="77777777" w:rsidR="00D23835" w:rsidRDefault="00D23835" w:rsidP="00CF5D94">
      <w:pPr>
        <w:pStyle w:val="Heading2"/>
      </w:pPr>
      <w:bookmarkStart w:id="8" w:name="_Toc467746516"/>
      <w:r>
        <w:t>Plan Formats</w:t>
      </w:r>
      <w:bookmarkEnd w:id="8"/>
    </w:p>
    <w:p w14:paraId="15B5F413" w14:textId="77777777" w:rsidR="00DD6B98" w:rsidRDefault="00D23835" w:rsidP="00D23835">
      <w:r>
        <w:t>The 2012-2017 Multi-Year Accessibility Plan was presen</w:t>
      </w:r>
      <w:r w:rsidR="002B7EAC">
        <w:t xml:space="preserve">ted as a complex table within </w:t>
      </w:r>
      <w:r>
        <w:t xml:space="preserve">  Microsoft Word and PDF documents</w:t>
      </w:r>
      <w:r w:rsidR="00681491">
        <w:t xml:space="preserve">—a common practice at the time. </w:t>
      </w:r>
      <w:r>
        <w:t xml:space="preserve">However, </w:t>
      </w:r>
      <w:r w:rsidR="00DD6B98">
        <w:t>evidence now suggests that a number of barriers are presented in complex t</w:t>
      </w:r>
      <w:r w:rsidR="002B7EAC">
        <w:t>ables for users with various</w:t>
      </w:r>
      <w:r w:rsidR="00DD6B98">
        <w:t xml:space="preserve"> disabilities. For these reasons many are now moving away from this format to more accessible and user –friendly for</w:t>
      </w:r>
      <w:r w:rsidR="00017AB5">
        <w:t>mats. Thus, this 2017-2022 Multi</w:t>
      </w:r>
      <w:r w:rsidR="00DD6B98">
        <w:t>-Year Accessibility Plan will be avai</w:t>
      </w:r>
      <w:r w:rsidR="00017AB5">
        <w:t>lable in the following formats</w:t>
      </w:r>
      <w:r w:rsidR="00DD6B98">
        <w:t>:</w:t>
      </w:r>
    </w:p>
    <w:p w14:paraId="0061290A" w14:textId="77777777" w:rsidR="00DD6B98" w:rsidRDefault="00DD6B98" w:rsidP="00DD6B98">
      <w:pPr>
        <w:pStyle w:val="ListParagraph"/>
        <w:numPr>
          <w:ilvl w:val="0"/>
          <w:numId w:val="19"/>
        </w:numPr>
      </w:pPr>
      <w:r>
        <w:t>Accessible Word Document</w:t>
      </w:r>
    </w:p>
    <w:p w14:paraId="2A701796" w14:textId="77777777" w:rsidR="00DD6B98" w:rsidRDefault="00DD6B98" w:rsidP="00017AB5">
      <w:pPr>
        <w:pStyle w:val="ListParagraph"/>
        <w:numPr>
          <w:ilvl w:val="0"/>
          <w:numId w:val="19"/>
        </w:numPr>
      </w:pPr>
      <w:r>
        <w:t>Accessible PDF</w:t>
      </w:r>
    </w:p>
    <w:p w14:paraId="29459CC1" w14:textId="77777777" w:rsidR="00017AB5" w:rsidRDefault="00017AB5" w:rsidP="00017AB5">
      <w:pPr>
        <w:pStyle w:val="ListParagraph"/>
        <w:numPr>
          <w:ilvl w:val="0"/>
          <w:numId w:val="19"/>
        </w:numPr>
      </w:pPr>
      <w:r>
        <w:t>HTML</w:t>
      </w:r>
    </w:p>
    <w:p w14:paraId="6E9B5002" w14:textId="77777777" w:rsidR="00802B21" w:rsidRDefault="00017AB5" w:rsidP="00017AB5">
      <w:r>
        <w:t xml:space="preserve">Accessible format requests can be made by contacting the Centre for Human Rights, Equity and Accessibility through </w:t>
      </w:r>
      <w:hyperlink r:id="rId8" w:history="1">
        <w:r w:rsidRPr="00070190">
          <w:rPr>
            <w:rStyle w:val="Hyperlink"/>
          </w:rPr>
          <w:t>access@trentu.ca</w:t>
        </w:r>
      </w:hyperlink>
      <w:r>
        <w:t xml:space="preserve">.  </w:t>
      </w:r>
    </w:p>
    <w:p w14:paraId="575949E5" w14:textId="77777777" w:rsidR="00802B21" w:rsidRDefault="00802B21" w:rsidP="00CF5D94">
      <w:pPr>
        <w:pStyle w:val="Heading2"/>
      </w:pPr>
      <w:bookmarkStart w:id="9" w:name="_Toc467746517"/>
      <w:r>
        <w:t>Feedback, Questions or Comments</w:t>
      </w:r>
      <w:bookmarkEnd w:id="9"/>
    </w:p>
    <w:p w14:paraId="1774C90F" w14:textId="77777777" w:rsidR="00802B21" w:rsidRPr="00802B21" w:rsidRDefault="00802B21">
      <w:r>
        <w:t xml:space="preserve">Comments or questions on this plan or related accessibility issues can be sent to </w:t>
      </w:r>
      <w:hyperlink r:id="rId9" w:history="1">
        <w:r w:rsidRPr="00CB65BC">
          <w:rPr>
            <w:rStyle w:val="Hyperlink"/>
          </w:rPr>
          <w:t>access@trentu.ca</w:t>
        </w:r>
      </w:hyperlink>
      <w:r>
        <w:t xml:space="preserve"> or by calling (705) 748-1011 ext. 6602. Support can be provided to those needing accommodation during the feedback process. </w:t>
      </w:r>
    </w:p>
    <w:p w14:paraId="76520961" w14:textId="77777777" w:rsidR="00802B21" w:rsidRPr="00802B21" w:rsidRDefault="00802B21"/>
    <w:p w14:paraId="443ED2A3" w14:textId="77777777" w:rsidR="002B7EAC" w:rsidRDefault="002B7EAC">
      <w:pPr>
        <w:rPr>
          <w:rFonts w:eastAsiaTheme="majorEastAsia" w:cstheme="majorBidi"/>
          <w:sz w:val="28"/>
          <w:szCs w:val="26"/>
        </w:rPr>
      </w:pPr>
      <w:r>
        <w:br w:type="page"/>
      </w:r>
    </w:p>
    <w:p w14:paraId="39238F8E" w14:textId="77777777" w:rsidR="002152A0" w:rsidRDefault="002152A0" w:rsidP="008573D2">
      <w:pPr>
        <w:pStyle w:val="Heading2"/>
      </w:pPr>
      <w:bookmarkStart w:id="10" w:name="_Toc467746518"/>
      <w:r>
        <w:t>Summary of</w:t>
      </w:r>
      <w:r w:rsidR="00E2348D">
        <w:t xml:space="preserve"> AODA</w:t>
      </w:r>
      <w:r>
        <w:t xml:space="preserve"> </w:t>
      </w:r>
      <w:r w:rsidR="00B92E22">
        <w:t>Requirements</w:t>
      </w:r>
      <w:r w:rsidR="00E2348D">
        <w:t xml:space="preserve"> and Compliance Status</w:t>
      </w:r>
      <w:bookmarkEnd w:id="10"/>
    </w:p>
    <w:tbl>
      <w:tblPr>
        <w:tblStyle w:val="TableGrid"/>
        <w:tblW w:w="0" w:type="auto"/>
        <w:tblLook w:val="04A0" w:firstRow="1" w:lastRow="0" w:firstColumn="1" w:lastColumn="0" w:noHBand="0" w:noVBand="1"/>
        <w:tblCaption w:val="Summary of AODA Requirements and Compliance Status at Trent University"/>
        <w:tblDescription w:val="AODA Requirements are listed for general AODA requirements and those of the information standard. The date at which compliance was/is required is noted along with a note on whether Trent University is compliant or whether work is &quot;in progress&quot; in meeting this requireement. "/>
      </w:tblPr>
      <w:tblGrid>
        <w:gridCol w:w="6068"/>
        <w:gridCol w:w="1845"/>
        <w:gridCol w:w="1437"/>
      </w:tblGrid>
      <w:tr w:rsidR="00EC6211" w14:paraId="09E989C0" w14:textId="77777777" w:rsidTr="00984F03">
        <w:tc>
          <w:tcPr>
            <w:tcW w:w="6745" w:type="dxa"/>
            <w:shd w:val="clear" w:color="auto" w:fill="E2EFD9" w:themeFill="accent6" w:themeFillTint="33"/>
          </w:tcPr>
          <w:p w14:paraId="24471A59" w14:textId="77777777" w:rsidR="004B7BAD" w:rsidRDefault="004B7BAD" w:rsidP="004B7BAD">
            <w:pPr>
              <w:jc w:val="center"/>
            </w:pPr>
            <w:r>
              <w:t>General Requirements</w:t>
            </w:r>
          </w:p>
        </w:tc>
        <w:tc>
          <w:tcPr>
            <w:tcW w:w="1980" w:type="dxa"/>
            <w:shd w:val="clear" w:color="auto" w:fill="E2EFD9" w:themeFill="accent6" w:themeFillTint="33"/>
          </w:tcPr>
          <w:p w14:paraId="56CA810D" w14:textId="77777777" w:rsidR="004B7BAD" w:rsidRDefault="004B7BAD" w:rsidP="004B7BAD">
            <w:pPr>
              <w:jc w:val="center"/>
            </w:pPr>
            <w:r>
              <w:t>Deadline</w:t>
            </w:r>
          </w:p>
        </w:tc>
        <w:tc>
          <w:tcPr>
            <w:tcW w:w="1485" w:type="dxa"/>
            <w:shd w:val="clear" w:color="auto" w:fill="E2EFD9" w:themeFill="accent6" w:themeFillTint="33"/>
          </w:tcPr>
          <w:p w14:paraId="31C5BCD2" w14:textId="77777777" w:rsidR="004B7BAD" w:rsidRDefault="004B7BAD" w:rsidP="004B7BAD">
            <w:pPr>
              <w:jc w:val="center"/>
            </w:pPr>
            <w:r>
              <w:t>Status</w:t>
            </w:r>
          </w:p>
        </w:tc>
      </w:tr>
      <w:bookmarkStart w:id="11" w:name="ChartIASR3"/>
      <w:tr w:rsidR="00EC6211" w14:paraId="1868DA46" w14:textId="77777777" w:rsidTr="00984F03">
        <w:tc>
          <w:tcPr>
            <w:tcW w:w="6745" w:type="dxa"/>
          </w:tcPr>
          <w:p w14:paraId="5F564CD6" w14:textId="77777777" w:rsidR="004B7BAD" w:rsidRDefault="00AB2198" w:rsidP="002152A0">
            <w:r>
              <w:fldChar w:fldCharType="begin"/>
            </w:r>
            <w:r>
              <w:instrText xml:space="preserve"> HYPERLINK \l "IASR3" </w:instrText>
            </w:r>
            <w:r>
              <w:fldChar w:fldCharType="separate"/>
            </w:r>
            <w:r w:rsidR="004B7BAD" w:rsidRPr="00F17716">
              <w:rPr>
                <w:rStyle w:val="Hyperlink"/>
              </w:rPr>
              <w:t>IASR s.3 Establish accessibility policies</w:t>
            </w:r>
            <w:r>
              <w:rPr>
                <w:rStyle w:val="Hyperlink"/>
              </w:rPr>
              <w:fldChar w:fldCharType="end"/>
            </w:r>
            <w:r w:rsidR="004B7BAD">
              <w:t xml:space="preserve"> </w:t>
            </w:r>
            <w:bookmarkEnd w:id="11"/>
          </w:p>
        </w:tc>
        <w:tc>
          <w:tcPr>
            <w:tcW w:w="1980" w:type="dxa"/>
          </w:tcPr>
          <w:p w14:paraId="0CCE8F87" w14:textId="77777777" w:rsidR="004B7BAD" w:rsidRDefault="004B7BAD" w:rsidP="002152A0">
            <w:r>
              <w:t>January 1, 2013</w:t>
            </w:r>
          </w:p>
        </w:tc>
        <w:tc>
          <w:tcPr>
            <w:tcW w:w="1485" w:type="dxa"/>
          </w:tcPr>
          <w:p w14:paraId="6B64E317" w14:textId="77777777" w:rsidR="004B7BAD" w:rsidRDefault="004B7BAD" w:rsidP="002152A0">
            <w:r>
              <w:t>Compliant</w:t>
            </w:r>
            <w:r w:rsidR="00EC6211">
              <w:t xml:space="preserve"> </w:t>
            </w:r>
          </w:p>
        </w:tc>
      </w:tr>
      <w:bookmarkStart w:id="12" w:name="chartIASR4"/>
      <w:tr w:rsidR="00EC6211" w14:paraId="6074365F" w14:textId="77777777" w:rsidTr="00984F03">
        <w:tc>
          <w:tcPr>
            <w:tcW w:w="6745" w:type="dxa"/>
          </w:tcPr>
          <w:p w14:paraId="098A7F15" w14:textId="77777777" w:rsidR="004B7BAD" w:rsidRDefault="00AB2198" w:rsidP="005A5E16">
            <w:r>
              <w:fldChar w:fldCharType="begin"/>
            </w:r>
            <w:r>
              <w:instrText xml:space="preserve"> HYPERLINK \l "IASR4" </w:instrText>
            </w:r>
            <w:r>
              <w:fldChar w:fldCharType="separate"/>
            </w:r>
            <w:r w:rsidR="004B7BAD" w:rsidRPr="00F17716">
              <w:rPr>
                <w:rStyle w:val="Hyperlink"/>
              </w:rPr>
              <w:t xml:space="preserve">IASR s.4 </w:t>
            </w:r>
            <w:r w:rsidR="005A5E16" w:rsidRPr="00F17716">
              <w:rPr>
                <w:rStyle w:val="Hyperlink"/>
              </w:rPr>
              <w:t>Accessibility plans</w:t>
            </w:r>
            <w:r>
              <w:rPr>
                <w:rStyle w:val="Hyperlink"/>
              </w:rPr>
              <w:fldChar w:fldCharType="end"/>
            </w:r>
            <w:bookmarkEnd w:id="12"/>
          </w:p>
        </w:tc>
        <w:tc>
          <w:tcPr>
            <w:tcW w:w="1980" w:type="dxa"/>
          </w:tcPr>
          <w:p w14:paraId="2139FF54" w14:textId="77777777" w:rsidR="004B7BAD" w:rsidRDefault="001A1EAC" w:rsidP="002152A0">
            <w:r>
              <w:t>January, 1 2013</w:t>
            </w:r>
          </w:p>
        </w:tc>
        <w:tc>
          <w:tcPr>
            <w:tcW w:w="1485" w:type="dxa"/>
          </w:tcPr>
          <w:p w14:paraId="490503EB" w14:textId="77777777" w:rsidR="004B7BAD" w:rsidRDefault="001A1EAC" w:rsidP="002152A0">
            <w:r>
              <w:t xml:space="preserve">Compliant </w:t>
            </w:r>
          </w:p>
        </w:tc>
      </w:tr>
      <w:bookmarkStart w:id="13" w:name="chartiasr5"/>
      <w:tr w:rsidR="00EC6211" w14:paraId="31D5DD86" w14:textId="77777777" w:rsidTr="00984F03">
        <w:tc>
          <w:tcPr>
            <w:tcW w:w="6745" w:type="dxa"/>
          </w:tcPr>
          <w:p w14:paraId="6556B8D8" w14:textId="77777777" w:rsidR="004B7BAD" w:rsidRDefault="00AB2198" w:rsidP="002152A0">
            <w:r>
              <w:fldChar w:fldCharType="begin"/>
            </w:r>
            <w:r>
              <w:instrText xml:space="preserve"> HYPERLINK \l "IASR5" </w:instrText>
            </w:r>
            <w:r>
              <w:fldChar w:fldCharType="separate"/>
            </w:r>
            <w:r w:rsidR="005A5E16" w:rsidRPr="00F17716">
              <w:rPr>
                <w:rStyle w:val="Hyperlink"/>
              </w:rPr>
              <w:t>IASR s.5 Accessible p</w:t>
            </w:r>
            <w:r w:rsidR="001A1EAC" w:rsidRPr="00F17716">
              <w:rPr>
                <w:rStyle w:val="Hyperlink"/>
              </w:rPr>
              <w:t>rocurement</w:t>
            </w:r>
            <w:r>
              <w:rPr>
                <w:rStyle w:val="Hyperlink"/>
              </w:rPr>
              <w:fldChar w:fldCharType="end"/>
            </w:r>
            <w:bookmarkEnd w:id="13"/>
          </w:p>
        </w:tc>
        <w:tc>
          <w:tcPr>
            <w:tcW w:w="1980" w:type="dxa"/>
          </w:tcPr>
          <w:p w14:paraId="4AFE2A9B" w14:textId="77777777" w:rsidR="004B7BAD" w:rsidRDefault="001A1EAC" w:rsidP="002152A0">
            <w:r>
              <w:t>January 1, 2013</w:t>
            </w:r>
          </w:p>
        </w:tc>
        <w:tc>
          <w:tcPr>
            <w:tcW w:w="1485" w:type="dxa"/>
          </w:tcPr>
          <w:p w14:paraId="13B56AFB" w14:textId="77777777" w:rsidR="004B7BAD" w:rsidRDefault="001A1EAC" w:rsidP="002152A0">
            <w:r>
              <w:t>Compliant</w:t>
            </w:r>
          </w:p>
        </w:tc>
      </w:tr>
      <w:bookmarkStart w:id="14" w:name="chartiasr6"/>
      <w:tr w:rsidR="00EC6211" w14:paraId="1A6705EB" w14:textId="77777777" w:rsidTr="00984F03">
        <w:tc>
          <w:tcPr>
            <w:tcW w:w="6745" w:type="dxa"/>
          </w:tcPr>
          <w:p w14:paraId="74A03C50" w14:textId="77777777" w:rsidR="004B7BAD" w:rsidRDefault="00AB2198" w:rsidP="005A5E16">
            <w:r>
              <w:fldChar w:fldCharType="begin"/>
            </w:r>
            <w:r>
              <w:instrText xml:space="preserve"> HYPERLINK \l "IASR6" </w:instrText>
            </w:r>
            <w:r>
              <w:fldChar w:fldCharType="separate"/>
            </w:r>
            <w:r w:rsidR="005A5E16" w:rsidRPr="00F17716">
              <w:rPr>
                <w:rStyle w:val="Hyperlink"/>
              </w:rPr>
              <w:t xml:space="preserve">IASR s.6 </w:t>
            </w:r>
            <w:r w:rsidR="001A1EAC" w:rsidRPr="00F17716">
              <w:rPr>
                <w:rStyle w:val="Hyperlink"/>
              </w:rPr>
              <w:t>Self-</w:t>
            </w:r>
            <w:r w:rsidR="005A5E16" w:rsidRPr="00F17716">
              <w:rPr>
                <w:rStyle w:val="Hyperlink"/>
              </w:rPr>
              <w:t>service k</w:t>
            </w:r>
            <w:r w:rsidR="001A1EAC" w:rsidRPr="00F17716">
              <w:rPr>
                <w:rStyle w:val="Hyperlink"/>
              </w:rPr>
              <w:t>iosks</w:t>
            </w:r>
            <w:r>
              <w:rPr>
                <w:rStyle w:val="Hyperlink"/>
              </w:rPr>
              <w:fldChar w:fldCharType="end"/>
            </w:r>
            <w:bookmarkEnd w:id="14"/>
          </w:p>
        </w:tc>
        <w:tc>
          <w:tcPr>
            <w:tcW w:w="1980" w:type="dxa"/>
          </w:tcPr>
          <w:p w14:paraId="4236B2B6" w14:textId="77777777" w:rsidR="004B7BAD" w:rsidRDefault="001A1EAC" w:rsidP="002152A0">
            <w:r>
              <w:t>January 1, 2013</w:t>
            </w:r>
          </w:p>
        </w:tc>
        <w:tc>
          <w:tcPr>
            <w:tcW w:w="1485" w:type="dxa"/>
          </w:tcPr>
          <w:p w14:paraId="4772CE74" w14:textId="77777777" w:rsidR="004B7BAD" w:rsidRPr="00CF5D94" w:rsidRDefault="009020DA" w:rsidP="00CF5D94">
            <w:r w:rsidRPr="000E652C">
              <w:t>In progress</w:t>
            </w:r>
            <w:r w:rsidR="001A1EAC" w:rsidRPr="000E652C">
              <w:t xml:space="preserve"> </w:t>
            </w:r>
          </w:p>
        </w:tc>
      </w:tr>
      <w:bookmarkStart w:id="15" w:name="chartiasr7"/>
      <w:tr w:rsidR="00EC6211" w14:paraId="406E8735" w14:textId="77777777" w:rsidTr="00984F03">
        <w:tc>
          <w:tcPr>
            <w:tcW w:w="6745" w:type="dxa"/>
          </w:tcPr>
          <w:p w14:paraId="7D5AD0AC" w14:textId="77777777" w:rsidR="004B7BAD" w:rsidRDefault="00AB2198" w:rsidP="005A5E16">
            <w:r>
              <w:fldChar w:fldCharType="begin"/>
            </w:r>
            <w:r>
              <w:instrText xml:space="preserve"> HYPERLINK \l "IASR7" </w:instrText>
            </w:r>
            <w:r>
              <w:fldChar w:fldCharType="separate"/>
            </w:r>
            <w:r w:rsidR="00B92E22" w:rsidRPr="00F17716">
              <w:rPr>
                <w:rStyle w:val="Hyperlink"/>
              </w:rPr>
              <w:t>IASR s.7 Training</w:t>
            </w:r>
            <w:r>
              <w:rPr>
                <w:rStyle w:val="Hyperlink"/>
              </w:rPr>
              <w:fldChar w:fldCharType="end"/>
            </w:r>
            <w:bookmarkEnd w:id="15"/>
          </w:p>
        </w:tc>
        <w:tc>
          <w:tcPr>
            <w:tcW w:w="1980" w:type="dxa"/>
          </w:tcPr>
          <w:p w14:paraId="2004618E" w14:textId="77777777" w:rsidR="004B7BAD" w:rsidRDefault="00B92E22" w:rsidP="002152A0">
            <w:r>
              <w:t>January 1, 2014</w:t>
            </w:r>
          </w:p>
        </w:tc>
        <w:tc>
          <w:tcPr>
            <w:tcW w:w="1485" w:type="dxa"/>
          </w:tcPr>
          <w:p w14:paraId="631F3CDB" w14:textId="77777777" w:rsidR="004B7BAD" w:rsidRDefault="00B92E22" w:rsidP="002152A0">
            <w:r>
              <w:t>Compliant</w:t>
            </w:r>
          </w:p>
        </w:tc>
      </w:tr>
      <w:tr w:rsidR="00EC6211" w14:paraId="52DF55E7" w14:textId="77777777" w:rsidTr="00984F03">
        <w:tc>
          <w:tcPr>
            <w:tcW w:w="6745" w:type="dxa"/>
            <w:shd w:val="clear" w:color="auto" w:fill="F7CAAC" w:themeFill="accent2" w:themeFillTint="66"/>
          </w:tcPr>
          <w:p w14:paraId="6B45DA70" w14:textId="77777777" w:rsidR="004B7BAD" w:rsidRDefault="00B92E22" w:rsidP="00B92E22">
            <w:pPr>
              <w:jc w:val="center"/>
            </w:pPr>
            <w:r>
              <w:t>Information and Communication Requirements</w:t>
            </w:r>
          </w:p>
        </w:tc>
        <w:tc>
          <w:tcPr>
            <w:tcW w:w="1980" w:type="dxa"/>
            <w:shd w:val="clear" w:color="auto" w:fill="F7CAAC" w:themeFill="accent2" w:themeFillTint="66"/>
          </w:tcPr>
          <w:p w14:paraId="71D9E0E3" w14:textId="77777777" w:rsidR="004B7BAD" w:rsidRDefault="00B92E22" w:rsidP="00B92E22">
            <w:pPr>
              <w:jc w:val="center"/>
            </w:pPr>
            <w:r>
              <w:t>Deadline</w:t>
            </w:r>
          </w:p>
        </w:tc>
        <w:tc>
          <w:tcPr>
            <w:tcW w:w="1485" w:type="dxa"/>
            <w:shd w:val="clear" w:color="auto" w:fill="F7CAAC" w:themeFill="accent2" w:themeFillTint="66"/>
          </w:tcPr>
          <w:p w14:paraId="4E955B60" w14:textId="77777777" w:rsidR="004B7BAD" w:rsidRDefault="00B92E22" w:rsidP="00B92E22">
            <w:pPr>
              <w:jc w:val="center"/>
            </w:pPr>
            <w:r>
              <w:t>Status</w:t>
            </w:r>
          </w:p>
        </w:tc>
      </w:tr>
      <w:bookmarkStart w:id="16" w:name="chartiasr11"/>
      <w:tr w:rsidR="00EC6211" w14:paraId="1FEA2A49" w14:textId="77777777" w:rsidTr="00984F03">
        <w:tc>
          <w:tcPr>
            <w:tcW w:w="6745" w:type="dxa"/>
          </w:tcPr>
          <w:p w14:paraId="5CEF6B90" w14:textId="77777777" w:rsidR="004B7BAD" w:rsidRDefault="00AB2198" w:rsidP="002152A0">
            <w:r>
              <w:fldChar w:fldCharType="begin"/>
            </w:r>
            <w:r>
              <w:instrText xml:space="preserve"> HYPERLINK \l "IASR11" </w:instrText>
            </w:r>
            <w:r>
              <w:fldChar w:fldCharType="separate"/>
            </w:r>
            <w:r w:rsidR="005A5E16" w:rsidRPr="00F17716">
              <w:rPr>
                <w:rStyle w:val="Hyperlink"/>
              </w:rPr>
              <w:t>IASR s.11 Feedback</w:t>
            </w:r>
            <w:r>
              <w:rPr>
                <w:rStyle w:val="Hyperlink"/>
              </w:rPr>
              <w:fldChar w:fldCharType="end"/>
            </w:r>
            <w:bookmarkEnd w:id="16"/>
            <w:r w:rsidR="005A5E16">
              <w:t xml:space="preserve"> </w:t>
            </w:r>
          </w:p>
        </w:tc>
        <w:tc>
          <w:tcPr>
            <w:tcW w:w="1980" w:type="dxa"/>
          </w:tcPr>
          <w:p w14:paraId="67FE5BAF" w14:textId="77777777" w:rsidR="004B7BAD" w:rsidRDefault="00B92E22" w:rsidP="002152A0">
            <w:r>
              <w:t>January 1, 2014</w:t>
            </w:r>
          </w:p>
        </w:tc>
        <w:tc>
          <w:tcPr>
            <w:tcW w:w="1485" w:type="dxa"/>
          </w:tcPr>
          <w:p w14:paraId="241049C1" w14:textId="77777777" w:rsidR="004B7BAD" w:rsidRDefault="00B92E22" w:rsidP="002152A0">
            <w:r>
              <w:t xml:space="preserve">Compliant </w:t>
            </w:r>
          </w:p>
        </w:tc>
      </w:tr>
      <w:bookmarkStart w:id="17" w:name="chartiasr12"/>
      <w:tr w:rsidR="00EC6211" w14:paraId="6157BEE3" w14:textId="77777777" w:rsidTr="00984F03">
        <w:tc>
          <w:tcPr>
            <w:tcW w:w="6745" w:type="dxa"/>
          </w:tcPr>
          <w:p w14:paraId="7564FCB2" w14:textId="77777777" w:rsidR="00B92E22" w:rsidRDefault="00AB2198" w:rsidP="002152A0">
            <w:r>
              <w:fldChar w:fldCharType="begin"/>
            </w:r>
            <w:r>
              <w:instrText xml:space="preserve"> HYPERLINK \l "IASR12" </w:instrText>
            </w:r>
            <w:r>
              <w:fldChar w:fldCharType="separate"/>
            </w:r>
            <w:r w:rsidR="00B92E22" w:rsidRPr="00F17716">
              <w:rPr>
                <w:rStyle w:val="Hyperlink"/>
              </w:rPr>
              <w:t>IASR s.12 Formats and Communication Supports</w:t>
            </w:r>
            <w:r>
              <w:rPr>
                <w:rStyle w:val="Hyperlink"/>
              </w:rPr>
              <w:fldChar w:fldCharType="end"/>
            </w:r>
            <w:bookmarkEnd w:id="17"/>
          </w:p>
        </w:tc>
        <w:tc>
          <w:tcPr>
            <w:tcW w:w="1980" w:type="dxa"/>
          </w:tcPr>
          <w:p w14:paraId="3E3F3220" w14:textId="77777777" w:rsidR="00B92E22" w:rsidRDefault="00B92E22" w:rsidP="002152A0">
            <w:r>
              <w:t>January 1, 2015</w:t>
            </w:r>
          </w:p>
        </w:tc>
        <w:tc>
          <w:tcPr>
            <w:tcW w:w="1485" w:type="dxa"/>
          </w:tcPr>
          <w:p w14:paraId="1972BA0A" w14:textId="77777777" w:rsidR="00B92E22" w:rsidRPr="00CF5D94" w:rsidRDefault="001B5780" w:rsidP="00CF5D94">
            <w:r w:rsidRPr="000E652C">
              <w:t>In progress</w:t>
            </w:r>
          </w:p>
        </w:tc>
      </w:tr>
      <w:bookmarkStart w:id="18" w:name="chartiasr13"/>
      <w:tr w:rsidR="00EC6211" w14:paraId="14AA6AC0" w14:textId="77777777" w:rsidTr="00984F03">
        <w:tc>
          <w:tcPr>
            <w:tcW w:w="6745" w:type="dxa"/>
          </w:tcPr>
          <w:p w14:paraId="7E42FF93" w14:textId="77777777" w:rsidR="00B92E22" w:rsidRDefault="00AB2198" w:rsidP="002152A0">
            <w:r>
              <w:fldChar w:fldCharType="begin"/>
            </w:r>
            <w:r>
              <w:instrText xml:space="preserve"> HYPERLINK \l "IASR13" </w:instrText>
            </w:r>
            <w:r>
              <w:fldChar w:fldCharType="separate"/>
            </w:r>
            <w:r w:rsidR="00B92E22" w:rsidRPr="00F17716">
              <w:rPr>
                <w:rStyle w:val="Hyperlink"/>
              </w:rPr>
              <w:t>IASR s.13</w:t>
            </w:r>
            <w:r w:rsidR="00984F03" w:rsidRPr="00F17716">
              <w:rPr>
                <w:rStyle w:val="Hyperlink"/>
              </w:rPr>
              <w:t xml:space="preserve"> Emergency Procedure/Public Safety Information</w:t>
            </w:r>
            <w:r>
              <w:rPr>
                <w:rStyle w:val="Hyperlink"/>
              </w:rPr>
              <w:fldChar w:fldCharType="end"/>
            </w:r>
            <w:bookmarkEnd w:id="18"/>
          </w:p>
        </w:tc>
        <w:tc>
          <w:tcPr>
            <w:tcW w:w="1980" w:type="dxa"/>
          </w:tcPr>
          <w:p w14:paraId="6B53A6EE" w14:textId="77777777" w:rsidR="00B92E22" w:rsidRDefault="00984F03" w:rsidP="002152A0">
            <w:r>
              <w:t>January 1, 2012</w:t>
            </w:r>
          </w:p>
        </w:tc>
        <w:tc>
          <w:tcPr>
            <w:tcW w:w="1485" w:type="dxa"/>
          </w:tcPr>
          <w:p w14:paraId="0337F479" w14:textId="77777777" w:rsidR="00B92E22" w:rsidRDefault="00984F03" w:rsidP="002152A0">
            <w:r>
              <w:t>Compliant</w:t>
            </w:r>
          </w:p>
        </w:tc>
      </w:tr>
      <w:bookmarkStart w:id="19" w:name="chartiasr14A"/>
      <w:tr w:rsidR="00EC6211" w14:paraId="0F09336F" w14:textId="77777777" w:rsidTr="00984F03">
        <w:tc>
          <w:tcPr>
            <w:tcW w:w="6745" w:type="dxa"/>
          </w:tcPr>
          <w:p w14:paraId="68CE0258" w14:textId="77777777" w:rsidR="00984F03" w:rsidRDefault="00AB2198" w:rsidP="00984F03">
            <w:r>
              <w:fldChar w:fldCharType="begin"/>
            </w:r>
            <w:r>
              <w:instrText xml:space="preserve"> HYPERLINK \l "IASR14" </w:instrText>
            </w:r>
            <w:r>
              <w:fldChar w:fldCharType="separate"/>
            </w:r>
            <w:r w:rsidR="00984F03" w:rsidRPr="00F17716">
              <w:rPr>
                <w:rStyle w:val="Hyperlink"/>
              </w:rPr>
              <w:t xml:space="preserve">IASR s.14 Accessible Websites and Web Content </w:t>
            </w:r>
            <w:r w:rsidR="00E26BF2" w:rsidRPr="00F17716">
              <w:rPr>
                <w:rStyle w:val="Hyperlink"/>
              </w:rPr>
              <w:t>Level A</w:t>
            </w:r>
            <w:r>
              <w:rPr>
                <w:rStyle w:val="Hyperlink"/>
              </w:rPr>
              <w:fldChar w:fldCharType="end"/>
            </w:r>
            <w:bookmarkEnd w:id="19"/>
          </w:p>
        </w:tc>
        <w:tc>
          <w:tcPr>
            <w:tcW w:w="1980" w:type="dxa"/>
          </w:tcPr>
          <w:p w14:paraId="423CDC76" w14:textId="77777777" w:rsidR="00984F03" w:rsidRDefault="00984F03" w:rsidP="002152A0">
            <w:r>
              <w:t>January 1, 2014</w:t>
            </w:r>
          </w:p>
        </w:tc>
        <w:tc>
          <w:tcPr>
            <w:tcW w:w="1485" w:type="dxa"/>
          </w:tcPr>
          <w:p w14:paraId="33E26353" w14:textId="77777777" w:rsidR="00984F03" w:rsidRPr="00CF5D94" w:rsidRDefault="00984F03" w:rsidP="00CF5D94">
            <w:r w:rsidRPr="000E652C">
              <w:t>In progress</w:t>
            </w:r>
          </w:p>
        </w:tc>
      </w:tr>
      <w:bookmarkStart w:id="20" w:name="chartIASR14AA"/>
      <w:tr w:rsidR="00EC6211" w14:paraId="5F104A5A" w14:textId="77777777" w:rsidTr="00984F03">
        <w:tc>
          <w:tcPr>
            <w:tcW w:w="6745" w:type="dxa"/>
          </w:tcPr>
          <w:p w14:paraId="6F06D95A" w14:textId="77777777" w:rsidR="00B92E22" w:rsidRDefault="00AB2198" w:rsidP="002152A0">
            <w:r>
              <w:fldChar w:fldCharType="begin"/>
            </w:r>
            <w:r>
              <w:instrText xml:space="preserve"> HYPERLINK \l "Section142021" </w:instrText>
            </w:r>
            <w:r>
              <w:fldChar w:fldCharType="separate"/>
            </w:r>
            <w:r w:rsidR="00E26BF2" w:rsidRPr="009F46EE">
              <w:rPr>
                <w:rStyle w:val="Hyperlink"/>
              </w:rPr>
              <w:t>IASR s.14 Accessible Websites and Web Content Level AA</w:t>
            </w:r>
            <w:r>
              <w:rPr>
                <w:rStyle w:val="Hyperlink"/>
              </w:rPr>
              <w:fldChar w:fldCharType="end"/>
            </w:r>
            <w:bookmarkEnd w:id="20"/>
          </w:p>
        </w:tc>
        <w:tc>
          <w:tcPr>
            <w:tcW w:w="1980" w:type="dxa"/>
          </w:tcPr>
          <w:p w14:paraId="74CD3C17" w14:textId="77777777" w:rsidR="00B92E22" w:rsidRDefault="00E26BF2" w:rsidP="002152A0">
            <w:r>
              <w:t>January 1, 2021</w:t>
            </w:r>
          </w:p>
        </w:tc>
        <w:tc>
          <w:tcPr>
            <w:tcW w:w="1485" w:type="dxa"/>
          </w:tcPr>
          <w:p w14:paraId="00873BDD" w14:textId="77777777" w:rsidR="00B92E22" w:rsidRPr="00CF5D94" w:rsidRDefault="00E26BF2" w:rsidP="00CF5D94">
            <w:pPr>
              <w:rPr>
                <w:color w:val="FF0000"/>
              </w:rPr>
            </w:pPr>
            <w:r w:rsidRPr="000E652C">
              <w:t>In progress</w:t>
            </w:r>
          </w:p>
        </w:tc>
      </w:tr>
      <w:bookmarkStart w:id="21" w:name="chartiasr15"/>
      <w:tr w:rsidR="00EC6211" w14:paraId="41089B66" w14:textId="77777777" w:rsidTr="00984F03">
        <w:tc>
          <w:tcPr>
            <w:tcW w:w="6745" w:type="dxa"/>
          </w:tcPr>
          <w:p w14:paraId="0F0139F6" w14:textId="77777777" w:rsidR="00E26BF2" w:rsidRDefault="00AB2198" w:rsidP="002152A0">
            <w:r>
              <w:fldChar w:fldCharType="begin"/>
            </w:r>
            <w:r>
              <w:instrText xml:space="preserve"> HYPERLINK \l "IASR15" </w:instrText>
            </w:r>
            <w:r>
              <w:fldChar w:fldCharType="separate"/>
            </w:r>
            <w:r w:rsidR="00E26BF2" w:rsidRPr="00F17716">
              <w:rPr>
                <w:rStyle w:val="Hyperlink"/>
              </w:rPr>
              <w:t>IASR s.15 Educational Resources and Materials</w:t>
            </w:r>
            <w:r>
              <w:rPr>
                <w:rStyle w:val="Hyperlink"/>
              </w:rPr>
              <w:fldChar w:fldCharType="end"/>
            </w:r>
            <w:bookmarkEnd w:id="21"/>
          </w:p>
        </w:tc>
        <w:tc>
          <w:tcPr>
            <w:tcW w:w="1980" w:type="dxa"/>
          </w:tcPr>
          <w:p w14:paraId="3D195A73" w14:textId="77777777" w:rsidR="00E26BF2" w:rsidRDefault="00E26BF2" w:rsidP="002152A0">
            <w:r>
              <w:t>January 1, 2015</w:t>
            </w:r>
          </w:p>
        </w:tc>
        <w:tc>
          <w:tcPr>
            <w:tcW w:w="1485" w:type="dxa"/>
          </w:tcPr>
          <w:p w14:paraId="10AFBD94" w14:textId="77777777" w:rsidR="00E26BF2" w:rsidRDefault="00E26BF2" w:rsidP="002152A0">
            <w:r>
              <w:t xml:space="preserve">Compliant </w:t>
            </w:r>
          </w:p>
        </w:tc>
      </w:tr>
      <w:bookmarkStart w:id="22" w:name="chartiasr16"/>
      <w:tr w:rsidR="00EC6211" w14:paraId="4C8CDBD1" w14:textId="77777777" w:rsidTr="00984F03">
        <w:tc>
          <w:tcPr>
            <w:tcW w:w="6745" w:type="dxa"/>
          </w:tcPr>
          <w:p w14:paraId="023E8095" w14:textId="77777777" w:rsidR="00E26BF2" w:rsidRDefault="00AB2198" w:rsidP="002152A0">
            <w:r>
              <w:fldChar w:fldCharType="begin"/>
            </w:r>
            <w:r>
              <w:instrText xml:space="preserve"> HYPERLINK \l "IASR16" </w:instrText>
            </w:r>
            <w:r>
              <w:fldChar w:fldCharType="separate"/>
            </w:r>
            <w:r w:rsidR="00E26BF2" w:rsidRPr="00F17716">
              <w:rPr>
                <w:rStyle w:val="Hyperlink"/>
              </w:rPr>
              <w:t>IASR s.16 Educators’ Awareness Training</w:t>
            </w:r>
            <w:r>
              <w:rPr>
                <w:rStyle w:val="Hyperlink"/>
              </w:rPr>
              <w:fldChar w:fldCharType="end"/>
            </w:r>
            <w:r w:rsidR="00E26BF2">
              <w:t xml:space="preserve"> </w:t>
            </w:r>
            <w:bookmarkEnd w:id="22"/>
          </w:p>
        </w:tc>
        <w:tc>
          <w:tcPr>
            <w:tcW w:w="1980" w:type="dxa"/>
          </w:tcPr>
          <w:p w14:paraId="32D79684" w14:textId="77777777" w:rsidR="00E26BF2" w:rsidRDefault="00E26BF2" w:rsidP="002152A0">
            <w:r>
              <w:t>January 1, 2013</w:t>
            </w:r>
          </w:p>
        </w:tc>
        <w:tc>
          <w:tcPr>
            <w:tcW w:w="1485" w:type="dxa"/>
          </w:tcPr>
          <w:p w14:paraId="13B61D40" w14:textId="77777777" w:rsidR="00E26BF2" w:rsidRDefault="00E26BF2" w:rsidP="002152A0">
            <w:r>
              <w:t xml:space="preserve">Compliant </w:t>
            </w:r>
          </w:p>
        </w:tc>
      </w:tr>
      <w:bookmarkStart w:id="23" w:name="chartiasr18A" w:colFirst="0" w:colLast="0"/>
      <w:tr w:rsidR="00EC6211" w14:paraId="5897DB66" w14:textId="77777777" w:rsidTr="00984F03">
        <w:tc>
          <w:tcPr>
            <w:tcW w:w="6745" w:type="dxa"/>
          </w:tcPr>
          <w:p w14:paraId="52D9CA46" w14:textId="77777777" w:rsidR="00E26BF2" w:rsidRDefault="00AB2198" w:rsidP="002152A0">
            <w:r>
              <w:fldChar w:fldCharType="begin"/>
            </w:r>
            <w:r>
              <w:instrText xml:space="preserve"> HYPERLINK \l "IASR18" </w:instrText>
            </w:r>
            <w:r>
              <w:fldChar w:fldCharType="separate"/>
            </w:r>
            <w:r w:rsidR="00E26BF2" w:rsidRPr="00F17716">
              <w:rPr>
                <w:rStyle w:val="Hyperlink"/>
              </w:rPr>
              <w:t>IASR s.18 Educational Libraries – print material</w:t>
            </w:r>
            <w:r>
              <w:rPr>
                <w:rStyle w:val="Hyperlink"/>
              </w:rPr>
              <w:fldChar w:fldCharType="end"/>
            </w:r>
            <w:r w:rsidR="00E26BF2">
              <w:t xml:space="preserve"> </w:t>
            </w:r>
          </w:p>
        </w:tc>
        <w:tc>
          <w:tcPr>
            <w:tcW w:w="1980" w:type="dxa"/>
          </w:tcPr>
          <w:p w14:paraId="0831C81C" w14:textId="77777777" w:rsidR="00E26BF2" w:rsidRDefault="00E26BF2" w:rsidP="002152A0">
            <w:r>
              <w:t>January 1, 2015</w:t>
            </w:r>
          </w:p>
        </w:tc>
        <w:tc>
          <w:tcPr>
            <w:tcW w:w="1485" w:type="dxa"/>
          </w:tcPr>
          <w:p w14:paraId="78D68421" w14:textId="77777777" w:rsidR="00E26BF2" w:rsidRDefault="00E26BF2" w:rsidP="002152A0">
            <w:r>
              <w:t>Compliant</w:t>
            </w:r>
          </w:p>
        </w:tc>
      </w:tr>
      <w:bookmarkStart w:id="24" w:name="chartiasr18AA"/>
      <w:bookmarkEnd w:id="23"/>
      <w:tr w:rsidR="00EC6211" w14:paraId="51681EC5" w14:textId="77777777" w:rsidTr="00984F03">
        <w:tc>
          <w:tcPr>
            <w:tcW w:w="6745" w:type="dxa"/>
          </w:tcPr>
          <w:p w14:paraId="54C8CA2B" w14:textId="77777777" w:rsidR="00E26BF2" w:rsidRDefault="00AB2198" w:rsidP="002152A0">
            <w:r>
              <w:fldChar w:fldCharType="begin"/>
            </w:r>
            <w:r>
              <w:instrText xml:space="preserve"> HYPERLINK \l "Section182020" </w:instrText>
            </w:r>
            <w:r>
              <w:fldChar w:fldCharType="separate"/>
            </w:r>
            <w:r w:rsidR="00E26BF2" w:rsidRPr="009F46EE">
              <w:rPr>
                <w:rStyle w:val="Hyperlink"/>
              </w:rPr>
              <w:t>IASR s.18 Educational Libraries – digital/multimedia resource</w:t>
            </w:r>
            <w:r>
              <w:rPr>
                <w:rStyle w:val="Hyperlink"/>
              </w:rPr>
              <w:fldChar w:fldCharType="end"/>
            </w:r>
            <w:bookmarkEnd w:id="24"/>
          </w:p>
        </w:tc>
        <w:tc>
          <w:tcPr>
            <w:tcW w:w="1980" w:type="dxa"/>
          </w:tcPr>
          <w:p w14:paraId="3600C5F6" w14:textId="77777777" w:rsidR="00E26BF2" w:rsidRDefault="00664F63" w:rsidP="002152A0">
            <w:r>
              <w:t>January 1, 2020</w:t>
            </w:r>
          </w:p>
        </w:tc>
        <w:tc>
          <w:tcPr>
            <w:tcW w:w="1485" w:type="dxa"/>
          </w:tcPr>
          <w:p w14:paraId="56B74F40" w14:textId="77777777" w:rsidR="00E26BF2" w:rsidRPr="00CF5D94" w:rsidRDefault="00664F63" w:rsidP="00CF5D94">
            <w:r w:rsidRPr="000E652C">
              <w:t>In progress</w:t>
            </w:r>
          </w:p>
        </w:tc>
      </w:tr>
    </w:tbl>
    <w:p w14:paraId="22714136" w14:textId="77777777" w:rsidR="00F17716" w:rsidRDefault="00F17716" w:rsidP="00664F63"/>
    <w:p w14:paraId="6DDF7FB1" w14:textId="77777777" w:rsidR="00F17716" w:rsidRDefault="00F17716">
      <w:r>
        <w:br w:type="page"/>
      </w:r>
    </w:p>
    <w:tbl>
      <w:tblPr>
        <w:tblStyle w:val="TableGrid"/>
        <w:tblpPr w:leftFromText="180" w:rightFromText="180" w:vertAnchor="text" w:horzAnchor="margin" w:tblpY="-329"/>
        <w:tblW w:w="0" w:type="auto"/>
        <w:tblLook w:val="04A0" w:firstRow="1" w:lastRow="0" w:firstColumn="1" w:lastColumn="0" w:noHBand="0" w:noVBand="1"/>
        <w:tblCaption w:val="Summary of AODA Requirement and Compliance Status at Trent University"/>
        <w:tblDescription w:val="AODA Requirements are listed for  AODA employment requirements and those of the design of public spaces standard. The date at which compliance was/is required is noted along with a note on whether Trent University is compliant or whether work is &quot;in progress&quot; in meeting this requireement."/>
      </w:tblPr>
      <w:tblGrid>
        <w:gridCol w:w="6050"/>
        <w:gridCol w:w="1846"/>
        <w:gridCol w:w="1454"/>
      </w:tblGrid>
      <w:tr w:rsidR="00DF1779" w14:paraId="1BC95D6B" w14:textId="77777777" w:rsidTr="00DF1779">
        <w:tc>
          <w:tcPr>
            <w:tcW w:w="6050" w:type="dxa"/>
            <w:shd w:val="clear" w:color="auto" w:fill="D7F7FD"/>
          </w:tcPr>
          <w:p w14:paraId="3232A9A7" w14:textId="77777777" w:rsidR="00DF1779" w:rsidRDefault="00DF1779" w:rsidP="00DF1779">
            <w:pPr>
              <w:jc w:val="center"/>
            </w:pPr>
            <w:r>
              <w:t>Employment Requirements</w:t>
            </w:r>
          </w:p>
        </w:tc>
        <w:tc>
          <w:tcPr>
            <w:tcW w:w="1846" w:type="dxa"/>
            <w:shd w:val="clear" w:color="auto" w:fill="D7F7FD"/>
          </w:tcPr>
          <w:p w14:paraId="5CA34B5A" w14:textId="77777777" w:rsidR="00DF1779" w:rsidRDefault="00DF1779" w:rsidP="00DF1779">
            <w:pPr>
              <w:jc w:val="center"/>
            </w:pPr>
            <w:r>
              <w:t>Deadline</w:t>
            </w:r>
          </w:p>
        </w:tc>
        <w:tc>
          <w:tcPr>
            <w:tcW w:w="1454" w:type="dxa"/>
            <w:shd w:val="clear" w:color="auto" w:fill="D7F7FD"/>
          </w:tcPr>
          <w:p w14:paraId="7F8E93CF" w14:textId="77777777" w:rsidR="00DF1779" w:rsidRDefault="00DF1779" w:rsidP="00DF1779">
            <w:pPr>
              <w:jc w:val="center"/>
            </w:pPr>
            <w:r>
              <w:t>Status</w:t>
            </w:r>
          </w:p>
        </w:tc>
      </w:tr>
      <w:bookmarkStart w:id="25" w:name="chartiasr22"/>
      <w:tr w:rsidR="00DF1779" w14:paraId="18674E32" w14:textId="77777777" w:rsidTr="00DF1779">
        <w:tc>
          <w:tcPr>
            <w:tcW w:w="6050" w:type="dxa"/>
          </w:tcPr>
          <w:p w14:paraId="17119708" w14:textId="77777777" w:rsidR="00DF1779" w:rsidRDefault="00AB2198" w:rsidP="00DF1779">
            <w:r>
              <w:fldChar w:fldCharType="begin"/>
            </w:r>
            <w:r>
              <w:instrText xml:space="preserve"> HYPERLINK \l "IASR22" </w:instrText>
            </w:r>
            <w:r>
              <w:fldChar w:fldCharType="separate"/>
            </w:r>
            <w:r w:rsidR="00DF1779" w:rsidRPr="00F17716">
              <w:rPr>
                <w:rStyle w:val="Hyperlink"/>
              </w:rPr>
              <w:t>IASR s.22 Recruitment, general</w:t>
            </w:r>
            <w:r>
              <w:rPr>
                <w:rStyle w:val="Hyperlink"/>
              </w:rPr>
              <w:fldChar w:fldCharType="end"/>
            </w:r>
            <w:bookmarkEnd w:id="25"/>
            <w:r w:rsidR="00DF1779">
              <w:t xml:space="preserve"> </w:t>
            </w:r>
          </w:p>
        </w:tc>
        <w:tc>
          <w:tcPr>
            <w:tcW w:w="1846" w:type="dxa"/>
          </w:tcPr>
          <w:p w14:paraId="18DBDA7C" w14:textId="77777777" w:rsidR="00DF1779" w:rsidRDefault="00DF1779" w:rsidP="00DF1779">
            <w:r>
              <w:t>January 1, 2014</w:t>
            </w:r>
          </w:p>
        </w:tc>
        <w:tc>
          <w:tcPr>
            <w:tcW w:w="1454" w:type="dxa"/>
          </w:tcPr>
          <w:p w14:paraId="455992F3" w14:textId="77777777" w:rsidR="00DF1779" w:rsidRDefault="00DF1779" w:rsidP="00DF1779">
            <w:r>
              <w:t>Compliant</w:t>
            </w:r>
          </w:p>
        </w:tc>
      </w:tr>
      <w:bookmarkStart w:id="26" w:name="chartiasr23"/>
      <w:tr w:rsidR="00DF1779" w14:paraId="4679FE8F" w14:textId="77777777" w:rsidTr="00DF1779">
        <w:tc>
          <w:tcPr>
            <w:tcW w:w="6050" w:type="dxa"/>
          </w:tcPr>
          <w:p w14:paraId="4E2F8671" w14:textId="77777777" w:rsidR="00DF1779" w:rsidRDefault="00AB2198" w:rsidP="00DF1779">
            <w:r>
              <w:fldChar w:fldCharType="begin"/>
            </w:r>
            <w:r>
              <w:instrText xml:space="preserve"> HYPERLINK \l "IASR23" </w:instrText>
            </w:r>
            <w:r>
              <w:fldChar w:fldCharType="separate"/>
            </w:r>
            <w:r w:rsidR="00DF1779" w:rsidRPr="00F17716">
              <w:rPr>
                <w:rStyle w:val="Hyperlink"/>
              </w:rPr>
              <w:t>IASR s.23 Recruitment selection/assessment processes</w:t>
            </w:r>
            <w:r>
              <w:rPr>
                <w:rStyle w:val="Hyperlink"/>
              </w:rPr>
              <w:fldChar w:fldCharType="end"/>
            </w:r>
            <w:bookmarkEnd w:id="26"/>
          </w:p>
        </w:tc>
        <w:tc>
          <w:tcPr>
            <w:tcW w:w="1846" w:type="dxa"/>
          </w:tcPr>
          <w:p w14:paraId="10457253" w14:textId="77777777" w:rsidR="00DF1779" w:rsidRDefault="00DF1779" w:rsidP="00DF1779">
            <w:r>
              <w:t>January 1, 2014</w:t>
            </w:r>
          </w:p>
        </w:tc>
        <w:tc>
          <w:tcPr>
            <w:tcW w:w="1454" w:type="dxa"/>
          </w:tcPr>
          <w:p w14:paraId="533F8263" w14:textId="77777777" w:rsidR="00DF1779" w:rsidRDefault="00DF1779" w:rsidP="00DF1779">
            <w:r>
              <w:t xml:space="preserve">Compliant </w:t>
            </w:r>
          </w:p>
        </w:tc>
      </w:tr>
      <w:bookmarkStart w:id="27" w:name="chartiasr24"/>
      <w:tr w:rsidR="00DF1779" w14:paraId="53B71B2A" w14:textId="77777777" w:rsidTr="00DF1779">
        <w:tc>
          <w:tcPr>
            <w:tcW w:w="6050" w:type="dxa"/>
          </w:tcPr>
          <w:p w14:paraId="512791AF" w14:textId="77777777" w:rsidR="00DF1779" w:rsidRDefault="00AB2198" w:rsidP="00DF1779">
            <w:r>
              <w:fldChar w:fldCharType="begin"/>
            </w:r>
            <w:r>
              <w:instrText xml:space="preserve"> HYPERLINK \l "IASR24" </w:instrText>
            </w:r>
            <w:r>
              <w:fldChar w:fldCharType="separate"/>
            </w:r>
            <w:r w:rsidR="00DF1779" w:rsidRPr="00F17716">
              <w:rPr>
                <w:rStyle w:val="Hyperlink"/>
              </w:rPr>
              <w:t>IASR s.24 Notice to successful applicant</w:t>
            </w:r>
            <w:r>
              <w:rPr>
                <w:rStyle w:val="Hyperlink"/>
              </w:rPr>
              <w:fldChar w:fldCharType="end"/>
            </w:r>
            <w:r w:rsidR="00DF1779">
              <w:t xml:space="preserve"> </w:t>
            </w:r>
            <w:bookmarkEnd w:id="27"/>
          </w:p>
        </w:tc>
        <w:tc>
          <w:tcPr>
            <w:tcW w:w="1846" w:type="dxa"/>
          </w:tcPr>
          <w:p w14:paraId="760CC954" w14:textId="77777777" w:rsidR="00DF1779" w:rsidRDefault="00DF1779" w:rsidP="00DF1779">
            <w:r>
              <w:t>January 1, 2014</w:t>
            </w:r>
          </w:p>
        </w:tc>
        <w:tc>
          <w:tcPr>
            <w:tcW w:w="1454" w:type="dxa"/>
          </w:tcPr>
          <w:p w14:paraId="639484CA" w14:textId="77777777" w:rsidR="00DF1779" w:rsidRDefault="00DF1779" w:rsidP="00DF1779">
            <w:r>
              <w:t>Compliant</w:t>
            </w:r>
          </w:p>
        </w:tc>
      </w:tr>
      <w:bookmarkStart w:id="28" w:name="chartiasr25"/>
      <w:tr w:rsidR="00DF1779" w14:paraId="3BC01C59" w14:textId="77777777" w:rsidTr="00DF1779">
        <w:tc>
          <w:tcPr>
            <w:tcW w:w="6050" w:type="dxa"/>
          </w:tcPr>
          <w:p w14:paraId="3299F5AC" w14:textId="77777777" w:rsidR="00DF1779" w:rsidRDefault="00AB2198" w:rsidP="00DF1779">
            <w:r>
              <w:fldChar w:fldCharType="begin"/>
            </w:r>
            <w:r>
              <w:instrText xml:space="preserve"> HYPERLINK \l "IASR25" </w:instrText>
            </w:r>
            <w:r>
              <w:fldChar w:fldCharType="separate"/>
            </w:r>
            <w:r w:rsidR="00DF1779" w:rsidRPr="00F17716">
              <w:rPr>
                <w:rStyle w:val="Hyperlink"/>
              </w:rPr>
              <w:t>IASR s.25 Informing employees of supports</w:t>
            </w:r>
            <w:r>
              <w:rPr>
                <w:rStyle w:val="Hyperlink"/>
              </w:rPr>
              <w:fldChar w:fldCharType="end"/>
            </w:r>
            <w:bookmarkEnd w:id="28"/>
          </w:p>
        </w:tc>
        <w:tc>
          <w:tcPr>
            <w:tcW w:w="1846" w:type="dxa"/>
          </w:tcPr>
          <w:p w14:paraId="57729209" w14:textId="77777777" w:rsidR="00DF1779" w:rsidRDefault="00DF1779" w:rsidP="00DF1779">
            <w:r>
              <w:t>January 1, 2014</w:t>
            </w:r>
          </w:p>
        </w:tc>
        <w:tc>
          <w:tcPr>
            <w:tcW w:w="1454" w:type="dxa"/>
          </w:tcPr>
          <w:p w14:paraId="61595934" w14:textId="77777777" w:rsidR="00DF1779" w:rsidRDefault="00DF1779" w:rsidP="00DF1779">
            <w:r>
              <w:t xml:space="preserve">Compliant </w:t>
            </w:r>
          </w:p>
        </w:tc>
      </w:tr>
      <w:bookmarkStart w:id="29" w:name="chartiasr26"/>
      <w:tr w:rsidR="00DF1779" w14:paraId="38AE19FE" w14:textId="77777777" w:rsidTr="00DF1779">
        <w:tc>
          <w:tcPr>
            <w:tcW w:w="6050" w:type="dxa"/>
          </w:tcPr>
          <w:p w14:paraId="540C50DB" w14:textId="77777777" w:rsidR="00DF1779" w:rsidRDefault="00AB2198" w:rsidP="00DF1779">
            <w:r>
              <w:fldChar w:fldCharType="begin"/>
            </w:r>
            <w:r>
              <w:instrText xml:space="preserve"> HYPERLINK \l "IASR26" </w:instrText>
            </w:r>
            <w:r>
              <w:fldChar w:fldCharType="separate"/>
            </w:r>
            <w:r w:rsidR="00DF1779" w:rsidRPr="00F17716">
              <w:rPr>
                <w:rStyle w:val="Hyperlink"/>
              </w:rPr>
              <w:t>IASR s.26 Formats and Communication support - employees</w:t>
            </w:r>
            <w:r>
              <w:rPr>
                <w:rStyle w:val="Hyperlink"/>
              </w:rPr>
              <w:fldChar w:fldCharType="end"/>
            </w:r>
            <w:bookmarkEnd w:id="29"/>
          </w:p>
        </w:tc>
        <w:tc>
          <w:tcPr>
            <w:tcW w:w="1846" w:type="dxa"/>
          </w:tcPr>
          <w:p w14:paraId="7786C92E" w14:textId="77777777" w:rsidR="00DF1779" w:rsidRDefault="00DF1779" w:rsidP="00DF1779">
            <w:r>
              <w:t>January 1, 2014</w:t>
            </w:r>
          </w:p>
        </w:tc>
        <w:tc>
          <w:tcPr>
            <w:tcW w:w="1454" w:type="dxa"/>
          </w:tcPr>
          <w:p w14:paraId="08E0F1EF" w14:textId="77777777" w:rsidR="00DF1779" w:rsidRDefault="00DF1779" w:rsidP="00DF1779">
            <w:r>
              <w:t>Compliant</w:t>
            </w:r>
          </w:p>
        </w:tc>
      </w:tr>
      <w:bookmarkStart w:id="30" w:name="chartiasr27"/>
      <w:tr w:rsidR="00DF1779" w14:paraId="7868005D" w14:textId="77777777" w:rsidTr="00DF1779">
        <w:tc>
          <w:tcPr>
            <w:tcW w:w="6050" w:type="dxa"/>
          </w:tcPr>
          <w:p w14:paraId="0A27F9A5" w14:textId="77777777" w:rsidR="00DF1779" w:rsidRDefault="00AB2198" w:rsidP="00DF1779">
            <w:r>
              <w:fldChar w:fldCharType="begin"/>
            </w:r>
            <w:r>
              <w:instrText xml:space="preserve"> HYPERLINK \l "IASR27" </w:instrText>
            </w:r>
            <w:r>
              <w:fldChar w:fldCharType="separate"/>
            </w:r>
            <w:r w:rsidR="00DF1779" w:rsidRPr="00F17716">
              <w:rPr>
                <w:rStyle w:val="Hyperlink"/>
              </w:rPr>
              <w:t>IASR s.27 Individualized Emergency Response Information</w:t>
            </w:r>
            <w:r>
              <w:rPr>
                <w:rStyle w:val="Hyperlink"/>
              </w:rPr>
              <w:fldChar w:fldCharType="end"/>
            </w:r>
            <w:bookmarkEnd w:id="30"/>
          </w:p>
        </w:tc>
        <w:tc>
          <w:tcPr>
            <w:tcW w:w="1846" w:type="dxa"/>
          </w:tcPr>
          <w:p w14:paraId="3AA0F6A6" w14:textId="77777777" w:rsidR="00DF1779" w:rsidRDefault="00DF1779" w:rsidP="00DF1779">
            <w:r>
              <w:t>January 1, 2012</w:t>
            </w:r>
          </w:p>
        </w:tc>
        <w:tc>
          <w:tcPr>
            <w:tcW w:w="1454" w:type="dxa"/>
          </w:tcPr>
          <w:p w14:paraId="4C2311A0" w14:textId="77777777" w:rsidR="00DF1779" w:rsidRDefault="00DF1779" w:rsidP="00DF1779">
            <w:r>
              <w:t>Compliant</w:t>
            </w:r>
          </w:p>
        </w:tc>
      </w:tr>
      <w:bookmarkStart w:id="31" w:name="chartiasr28"/>
      <w:tr w:rsidR="00DF1779" w14:paraId="2F86922E" w14:textId="77777777" w:rsidTr="00DF1779">
        <w:tc>
          <w:tcPr>
            <w:tcW w:w="6050" w:type="dxa"/>
          </w:tcPr>
          <w:p w14:paraId="48E2D670" w14:textId="77777777" w:rsidR="00DF1779" w:rsidRDefault="00AB2198" w:rsidP="00DF1779">
            <w:r>
              <w:fldChar w:fldCharType="begin"/>
            </w:r>
            <w:r>
              <w:instrText xml:space="preserve"> HYPERLINK \l "IASR28" </w:instrText>
            </w:r>
            <w:r>
              <w:fldChar w:fldCharType="separate"/>
            </w:r>
            <w:r w:rsidR="00DF1779" w:rsidRPr="00F17716">
              <w:rPr>
                <w:rStyle w:val="Hyperlink"/>
              </w:rPr>
              <w:t>IASR s.28 Documented Individualized Accommodation Plans</w:t>
            </w:r>
            <w:r>
              <w:rPr>
                <w:rStyle w:val="Hyperlink"/>
              </w:rPr>
              <w:fldChar w:fldCharType="end"/>
            </w:r>
            <w:bookmarkEnd w:id="31"/>
          </w:p>
        </w:tc>
        <w:tc>
          <w:tcPr>
            <w:tcW w:w="1846" w:type="dxa"/>
          </w:tcPr>
          <w:p w14:paraId="41495AD5" w14:textId="77777777" w:rsidR="00DF1779" w:rsidRDefault="00DF1779" w:rsidP="00DF1779">
            <w:r>
              <w:t>January 1, 2014</w:t>
            </w:r>
          </w:p>
        </w:tc>
        <w:tc>
          <w:tcPr>
            <w:tcW w:w="1454" w:type="dxa"/>
          </w:tcPr>
          <w:p w14:paraId="362E768B" w14:textId="77777777" w:rsidR="00DF1779" w:rsidRDefault="00DF1779" w:rsidP="00DF1779">
            <w:r>
              <w:t>Compliant</w:t>
            </w:r>
          </w:p>
        </w:tc>
      </w:tr>
      <w:bookmarkStart w:id="32" w:name="chartiasr29"/>
      <w:tr w:rsidR="00DF1779" w14:paraId="5A6519D7" w14:textId="77777777" w:rsidTr="00DF1779">
        <w:tc>
          <w:tcPr>
            <w:tcW w:w="6050" w:type="dxa"/>
          </w:tcPr>
          <w:p w14:paraId="58A2C6D3" w14:textId="77777777" w:rsidR="00DF1779" w:rsidRDefault="00AB2198" w:rsidP="00DF1779">
            <w:r>
              <w:fldChar w:fldCharType="begin"/>
            </w:r>
            <w:r>
              <w:instrText xml:space="preserve"> HYPERLINK \l "IASR29" </w:instrText>
            </w:r>
            <w:r>
              <w:fldChar w:fldCharType="separate"/>
            </w:r>
            <w:r w:rsidR="00DF1779" w:rsidRPr="00F17716">
              <w:rPr>
                <w:rStyle w:val="Hyperlink"/>
              </w:rPr>
              <w:t>IASR s.29 Return to Work</w:t>
            </w:r>
            <w:r>
              <w:rPr>
                <w:rStyle w:val="Hyperlink"/>
              </w:rPr>
              <w:fldChar w:fldCharType="end"/>
            </w:r>
            <w:bookmarkEnd w:id="32"/>
          </w:p>
        </w:tc>
        <w:tc>
          <w:tcPr>
            <w:tcW w:w="1846" w:type="dxa"/>
          </w:tcPr>
          <w:p w14:paraId="77B27DDE" w14:textId="77777777" w:rsidR="00DF1779" w:rsidRDefault="00DF1779" w:rsidP="00DF1779">
            <w:r>
              <w:t>January 1, 2014</w:t>
            </w:r>
          </w:p>
        </w:tc>
        <w:tc>
          <w:tcPr>
            <w:tcW w:w="1454" w:type="dxa"/>
          </w:tcPr>
          <w:p w14:paraId="15939919" w14:textId="77777777" w:rsidR="00DF1779" w:rsidRDefault="00DF1779" w:rsidP="00DF1779">
            <w:r>
              <w:t>Compliant</w:t>
            </w:r>
          </w:p>
        </w:tc>
      </w:tr>
      <w:bookmarkStart w:id="33" w:name="chartiasr30"/>
      <w:tr w:rsidR="00DF1779" w14:paraId="058A296E" w14:textId="77777777" w:rsidTr="00DF1779">
        <w:tc>
          <w:tcPr>
            <w:tcW w:w="6050" w:type="dxa"/>
          </w:tcPr>
          <w:p w14:paraId="739D2B10" w14:textId="77777777" w:rsidR="00DF1779" w:rsidRDefault="00AB2198" w:rsidP="00DF1779">
            <w:r>
              <w:fldChar w:fldCharType="begin"/>
            </w:r>
            <w:r>
              <w:instrText xml:space="preserve"> HYPERLINK \l "IASR30" </w:instrText>
            </w:r>
            <w:r>
              <w:fldChar w:fldCharType="separate"/>
            </w:r>
            <w:r w:rsidR="00DF1779" w:rsidRPr="00F17716">
              <w:rPr>
                <w:rStyle w:val="Hyperlink"/>
              </w:rPr>
              <w:t>IASR s.30 Performance Management</w:t>
            </w:r>
            <w:r>
              <w:rPr>
                <w:rStyle w:val="Hyperlink"/>
              </w:rPr>
              <w:fldChar w:fldCharType="end"/>
            </w:r>
            <w:r w:rsidR="00DF1779">
              <w:t xml:space="preserve"> </w:t>
            </w:r>
            <w:bookmarkEnd w:id="33"/>
          </w:p>
        </w:tc>
        <w:tc>
          <w:tcPr>
            <w:tcW w:w="1846" w:type="dxa"/>
          </w:tcPr>
          <w:p w14:paraId="6F89FC78" w14:textId="77777777" w:rsidR="00DF1779" w:rsidRDefault="00DF1779" w:rsidP="00DF1779">
            <w:r>
              <w:t>January 1, 2014</w:t>
            </w:r>
          </w:p>
        </w:tc>
        <w:tc>
          <w:tcPr>
            <w:tcW w:w="1454" w:type="dxa"/>
          </w:tcPr>
          <w:p w14:paraId="1BA78AF2" w14:textId="77777777" w:rsidR="00DF1779" w:rsidRDefault="00DF1779" w:rsidP="00DF1779">
            <w:r>
              <w:t>Compliant</w:t>
            </w:r>
          </w:p>
        </w:tc>
      </w:tr>
      <w:bookmarkStart w:id="34" w:name="chartiasr31"/>
      <w:tr w:rsidR="00DF1779" w14:paraId="7F3E4E4D" w14:textId="77777777" w:rsidTr="00DF1779">
        <w:tc>
          <w:tcPr>
            <w:tcW w:w="6050" w:type="dxa"/>
          </w:tcPr>
          <w:p w14:paraId="20640754" w14:textId="77777777" w:rsidR="00DF1779" w:rsidRDefault="00AB2198" w:rsidP="00DF1779">
            <w:r>
              <w:fldChar w:fldCharType="begin"/>
            </w:r>
            <w:r>
              <w:instrText xml:space="preserve"> HYPERLINK \l "IASR31" </w:instrText>
            </w:r>
            <w:r>
              <w:fldChar w:fldCharType="separate"/>
            </w:r>
            <w:r w:rsidR="00DF1779" w:rsidRPr="00F17716">
              <w:rPr>
                <w:rStyle w:val="Hyperlink"/>
              </w:rPr>
              <w:t>IASR s.31 Career Development</w:t>
            </w:r>
            <w:r>
              <w:rPr>
                <w:rStyle w:val="Hyperlink"/>
              </w:rPr>
              <w:fldChar w:fldCharType="end"/>
            </w:r>
            <w:bookmarkEnd w:id="34"/>
          </w:p>
        </w:tc>
        <w:tc>
          <w:tcPr>
            <w:tcW w:w="1846" w:type="dxa"/>
          </w:tcPr>
          <w:p w14:paraId="3879D4FE" w14:textId="77777777" w:rsidR="00DF1779" w:rsidRDefault="00DF1779" w:rsidP="00DF1779">
            <w:r>
              <w:t>January 1, 2014</w:t>
            </w:r>
          </w:p>
        </w:tc>
        <w:tc>
          <w:tcPr>
            <w:tcW w:w="1454" w:type="dxa"/>
          </w:tcPr>
          <w:p w14:paraId="34ECE5F2" w14:textId="77777777" w:rsidR="00DF1779" w:rsidRDefault="00DF1779" w:rsidP="00DF1779">
            <w:r>
              <w:t>Compliant</w:t>
            </w:r>
          </w:p>
        </w:tc>
      </w:tr>
      <w:bookmarkStart w:id="35" w:name="chartiasr32"/>
      <w:tr w:rsidR="00DF1779" w14:paraId="3CBD350D" w14:textId="77777777" w:rsidTr="00DF1779">
        <w:tc>
          <w:tcPr>
            <w:tcW w:w="6050" w:type="dxa"/>
          </w:tcPr>
          <w:p w14:paraId="144ED490" w14:textId="77777777" w:rsidR="00DF1779" w:rsidRDefault="00AB2198" w:rsidP="00DF1779">
            <w:r>
              <w:fldChar w:fldCharType="begin"/>
            </w:r>
            <w:r>
              <w:instrText xml:space="preserve"> HYPERLINK \l "IASR32" </w:instrText>
            </w:r>
            <w:r>
              <w:fldChar w:fldCharType="separate"/>
            </w:r>
            <w:r w:rsidR="00DF1779" w:rsidRPr="00F17716">
              <w:rPr>
                <w:rStyle w:val="Hyperlink"/>
              </w:rPr>
              <w:t>IASR s.32 Redeployment</w:t>
            </w:r>
            <w:r>
              <w:rPr>
                <w:rStyle w:val="Hyperlink"/>
              </w:rPr>
              <w:fldChar w:fldCharType="end"/>
            </w:r>
            <w:bookmarkEnd w:id="35"/>
          </w:p>
        </w:tc>
        <w:tc>
          <w:tcPr>
            <w:tcW w:w="1846" w:type="dxa"/>
          </w:tcPr>
          <w:p w14:paraId="2F3D6411" w14:textId="77777777" w:rsidR="00DF1779" w:rsidRDefault="00DF1779" w:rsidP="00DF1779">
            <w:r>
              <w:t>January 1, 2014</w:t>
            </w:r>
          </w:p>
        </w:tc>
        <w:tc>
          <w:tcPr>
            <w:tcW w:w="1454" w:type="dxa"/>
          </w:tcPr>
          <w:p w14:paraId="6134AC27" w14:textId="77777777" w:rsidR="00DF1779" w:rsidRDefault="00DF1779" w:rsidP="00DF1779">
            <w:r>
              <w:t>Compliant</w:t>
            </w:r>
          </w:p>
        </w:tc>
      </w:tr>
      <w:tr w:rsidR="00DF1779" w14:paraId="3498C104" w14:textId="77777777" w:rsidTr="00DF1779">
        <w:tc>
          <w:tcPr>
            <w:tcW w:w="6050" w:type="dxa"/>
            <w:shd w:val="clear" w:color="auto" w:fill="CCBDE9"/>
          </w:tcPr>
          <w:p w14:paraId="41A9083E" w14:textId="77777777" w:rsidR="00DF1779" w:rsidRDefault="00DF1779" w:rsidP="00DF1779">
            <w:pPr>
              <w:jc w:val="center"/>
            </w:pPr>
            <w:r>
              <w:t>Design of Public Spaces Requirements</w:t>
            </w:r>
          </w:p>
        </w:tc>
        <w:tc>
          <w:tcPr>
            <w:tcW w:w="1846" w:type="dxa"/>
            <w:shd w:val="clear" w:color="auto" w:fill="CCBDE9"/>
          </w:tcPr>
          <w:p w14:paraId="0CAE082C" w14:textId="77777777" w:rsidR="00DF1779" w:rsidRDefault="00DF1779" w:rsidP="00DF1779">
            <w:pPr>
              <w:jc w:val="center"/>
            </w:pPr>
            <w:r>
              <w:t>Deadline</w:t>
            </w:r>
          </w:p>
        </w:tc>
        <w:tc>
          <w:tcPr>
            <w:tcW w:w="1454" w:type="dxa"/>
            <w:shd w:val="clear" w:color="auto" w:fill="CCBDE9"/>
          </w:tcPr>
          <w:p w14:paraId="0B7C24B4" w14:textId="77777777" w:rsidR="00DF1779" w:rsidRDefault="00DF1779" w:rsidP="00DF1779">
            <w:pPr>
              <w:jc w:val="center"/>
            </w:pPr>
            <w:r>
              <w:t>Status</w:t>
            </w:r>
          </w:p>
        </w:tc>
      </w:tr>
      <w:bookmarkStart w:id="36" w:name="chartiasrdops"/>
      <w:tr w:rsidR="00DF1779" w14:paraId="6EA4C4AD" w14:textId="77777777" w:rsidTr="00DF1779">
        <w:tc>
          <w:tcPr>
            <w:tcW w:w="6050" w:type="dxa"/>
          </w:tcPr>
          <w:p w14:paraId="6331960F" w14:textId="77777777" w:rsidR="00DF1779" w:rsidRDefault="00AB2198" w:rsidP="00DF1779">
            <w:r>
              <w:fldChar w:fldCharType="begin"/>
            </w:r>
            <w:r>
              <w:instrText xml:space="preserve"> HYPERLINK \l "DOPS1" </w:instrText>
            </w:r>
            <w:r>
              <w:fldChar w:fldCharType="separate"/>
            </w:r>
            <w:r w:rsidR="00DF1779" w:rsidRPr="00F457D2">
              <w:rPr>
                <w:rStyle w:val="Hyperlink"/>
              </w:rPr>
              <w:t>IASR s.80.6-80.15 Recreational Trails (not Beach Access)</w:t>
            </w:r>
            <w:r>
              <w:rPr>
                <w:rStyle w:val="Hyperlink"/>
              </w:rPr>
              <w:fldChar w:fldCharType="end"/>
            </w:r>
            <w:bookmarkEnd w:id="36"/>
          </w:p>
        </w:tc>
        <w:tc>
          <w:tcPr>
            <w:tcW w:w="1846" w:type="dxa"/>
          </w:tcPr>
          <w:p w14:paraId="0056B4F7" w14:textId="77777777" w:rsidR="00DF1779" w:rsidRDefault="00DF1779" w:rsidP="00DF1779">
            <w:r>
              <w:t>January 1, 2016</w:t>
            </w:r>
          </w:p>
        </w:tc>
        <w:tc>
          <w:tcPr>
            <w:tcW w:w="1454" w:type="dxa"/>
          </w:tcPr>
          <w:p w14:paraId="19691058" w14:textId="77777777" w:rsidR="00DF1779" w:rsidRDefault="00DF1779" w:rsidP="00DF1779">
            <w:r>
              <w:t>Compliant</w:t>
            </w:r>
          </w:p>
        </w:tc>
      </w:tr>
      <w:tr w:rsidR="00DF1779" w14:paraId="670042E1" w14:textId="77777777" w:rsidTr="00DF1779">
        <w:tc>
          <w:tcPr>
            <w:tcW w:w="6050" w:type="dxa"/>
          </w:tcPr>
          <w:p w14:paraId="421A1EB5" w14:textId="77777777" w:rsidR="00DF1779" w:rsidRDefault="00F4020E" w:rsidP="00DF1779">
            <w:hyperlink w:anchor="DOPS1" w:history="1">
              <w:r w:rsidR="00DF1779" w:rsidRPr="00F457D2">
                <w:rPr>
                  <w:rStyle w:val="Hyperlink"/>
                </w:rPr>
                <w:t>IASR s.80.16-80.17 Outdoor public eating areas</w:t>
              </w:r>
            </w:hyperlink>
          </w:p>
        </w:tc>
        <w:tc>
          <w:tcPr>
            <w:tcW w:w="1846" w:type="dxa"/>
          </w:tcPr>
          <w:p w14:paraId="7F18ED87" w14:textId="77777777" w:rsidR="00DF1779" w:rsidRDefault="00DF1779" w:rsidP="00DF1779">
            <w:r>
              <w:t>January 1, 2016</w:t>
            </w:r>
          </w:p>
        </w:tc>
        <w:tc>
          <w:tcPr>
            <w:tcW w:w="1454" w:type="dxa"/>
          </w:tcPr>
          <w:p w14:paraId="7A5D43D5" w14:textId="77777777" w:rsidR="00DF1779" w:rsidRPr="003C7335" w:rsidRDefault="00DF1779" w:rsidP="00DF1779">
            <w:pPr>
              <w:spacing w:line="259" w:lineRule="auto"/>
            </w:pPr>
            <w:r w:rsidRPr="003C7335">
              <w:t>In progress</w:t>
            </w:r>
          </w:p>
        </w:tc>
      </w:tr>
      <w:tr w:rsidR="00DF1779" w14:paraId="05444B06" w14:textId="77777777" w:rsidTr="00DF1779">
        <w:tc>
          <w:tcPr>
            <w:tcW w:w="6050" w:type="dxa"/>
          </w:tcPr>
          <w:p w14:paraId="10129F5D" w14:textId="77777777" w:rsidR="00DF1779" w:rsidRDefault="00F4020E" w:rsidP="00DF1779">
            <w:hyperlink w:anchor="DOPS1" w:history="1">
              <w:r w:rsidR="00DF1779" w:rsidRPr="00F457D2">
                <w:rPr>
                  <w:rStyle w:val="Hyperlink"/>
                </w:rPr>
                <w:t>IASR s.80.21-80.31 Exterior paths of travel</w:t>
              </w:r>
            </w:hyperlink>
          </w:p>
        </w:tc>
        <w:tc>
          <w:tcPr>
            <w:tcW w:w="1846" w:type="dxa"/>
          </w:tcPr>
          <w:p w14:paraId="35785C4C" w14:textId="77777777" w:rsidR="00DF1779" w:rsidRDefault="00DF1779" w:rsidP="00DF1779">
            <w:r>
              <w:t>January 1, 2016</w:t>
            </w:r>
          </w:p>
        </w:tc>
        <w:tc>
          <w:tcPr>
            <w:tcW w:w="1454" w:type="dxa"/>
          </w:tcPr>
          <w:p w14:paraId="65799B36" w14:textId="77777777" w:rsidR="00DF1779" w:rsidRDefault="00DF1779" w:rsidP="00DF1779">
            <w:r>
              <w:t>Compliant</w:t>
            </w:r>
          </w:p>
        </w:tc>
      </w:tr>
      <w:tr w:rsidR="00DF1779" w14:paraId="4AB2A052" w14:textId="77777777" w:rsidTr="00DF1779">
        <w:tc>
          <w:tcPr>
            <w:tcW w:w="6050" w:type="dxa"/>
          </w:tcPr>
          <w:p w14:paraId="27FEE7F1" w14:textId="77777777" w:rsidR="00DF1779" w:rsidRDefault="00F4020E" w:rsidP="00DF1779">
            <w:hyperlink w:anchor="DOPS1" w:history="1">
              <w:r w:rsidR="00DF1779" w:rsidRPr="00F457D2">
                <w:rPr>
                  <w:rStyle w:val="Hyperlink"/>
                </w:rPr>
                <w:t>IASR s.80.32-80.39 Accessible parking</w:t>
              </w:r>
            </w:hyperlink>
          </w:p>
        </w:tc>
        <w:tc>
          <w:tcPr>
            <w:tcW w:w="1846" w:type="dxa"/>
          </w:tcPr>
          <w:p w14:paraId="7914DC51" w14:textId="77777777" w:rsidR="00DF1779" w:rsidRDefault="00DF1779" w:rsidP="00DF1779">
            <w:r>
              <w:t>January 1, 2016</w:t>
            </w:r>
          </w:p>
        </w:tc>
        <w:tc>
          <w:tcPr>
            <w:tcW w:w="1454" w:type="dxa"/>
          </w:tcPr>
          <w:p w14:paraId="3055127A" w14:textId="77777777" w:rsidR="00DF1779" w:rsidRDefault="00DF1779" w:rsidP="00DF1779">
            <w:r>
              <w:t>Compliant</w:t>
            </w:r>
          </w:p>
        </w:tc>
      </w:tr>
      <w:tr w:rsidR="00DF1779" w14:paraId="59D26EDE" w14:textId="77777777" w:rsidTr="00DF1779">
        <w:tc>
          <w:tcPr>
            <w:tcW w:w="6050" w:type="dxa"/>
          </w:tcPr>
          <w:p w14:paraId="41BD4700" w14:textId="77777777" w:rsidR="00DF1779" w:rsidRDefault="00F4020E" w:rsidP="00DF1779">
            <w:hyperlink w:anchor="DOPS1" w:history="1">
              <w:r w:rsidR="00DF1779" w:rsidRPr="00F457D2">
                <w:rPr>
                  <w:rStyle w:val="Hyperlink"/>
                </w:rPr>
                <w:t>IASR s.80.40-80.43 Obtaining service</w:t>
              </w:r>
            </w:hyperlink>
          </w:p>
        </w:tc>
        <w:tc>
          <w:tcPr>
            <w:tcW w:w="1846" w:type="dxa"/>
          </w:tcPr>
          <w:p w14:paraId="1559A358" w14:textId="77777777" w:rsidR="00DF1779" w:rsidRDefault="00DF1779" w:rsidP="00DF1779">
            <w:r>
              <w:t>January 1, 2016</w:t>
            </w:r>
          </w:p>
        </w:tc>
        <w:tc>
          <w:tcPr>
            <w:tcW w:w="1454" w:type="dxa"/>
          </w:tcPr>
          <w:p w14:paraId="2ADC205E" w14:textId="77777777" w:rsidR="00DF1779" w:rsidRDefault="00DF1779" w:rsidP="00DF1779">
            <w:r>
              <w:t>Compliant</w:t>
            </w:r>
          </w:p>
        </w:tc>
      </w:tr>
      <w:tr w:rsidR="00DF1779" w14:paraId="7199AE05" w14:textId="77777777" w:rsidTr="00DF1779">
        <w:tc>
          <w:tcPr>
            <w:tcW w:w="6050" w:type="dxa"/>
          </w:tcPr>
          <w:p w14:paraId="78F427BE" w14:textId="77777777" w:rsidR="00DF1779" w:rsidRDefault="00F4020E" w:rsidP="00DF1779">
            <w:hyperlink w:anchor="DOPS1" w:history="1">
              <w:r w:rsidR="00DF1779" w:rsidRPr="00F457D2">
                <w:rPr>
                  <w:rStyle w:val="Hyperlink"/>
                </w:rPr>
                <w:t>IASR s.80.44 Mainten</w:t>
              </w:r>
              <w:r w:rsidR="00DF1779" w:rsidRPr="00F457D2">
                <w:rPr>
                  <w:rStyle w:val="Hyperlink"/>
                </w:rPr>
                <w:t>a</w:t>
              </w:r>
              <w:r w:rsidR="00DF1779" w:rsidRPr="00F457D2">
                <w:rPr>
                  <w:rStyle w:val="Hyperlink"/>
                </w:rPr>
                <w:t>nce of accessible elements</w:t>
              </w:r>
            </w:hyperlink>
          </w:p>
        </w:tc>
        <w:tc>
          <w:tcPr>
            <w:tcW w:w="1846" w:type="dxa"/>
          </w:tcPr>
          <w:p w14:paraId="49A58FD8" w14:textId="77777777" w:rsidR="00DF1779" w:rsidRDefault="00DF1779" w:rsidP="00DF1779">
            <w:r>
              <w:t>January 1, 2016</w:t>
            </w:r>
          </w:p>
        </w:tc>
        <w:tc>
          <w:tcPr>
            <w:tcW w:w="1454" w:type="dxa"/>
          </w:tcPr>
          <w:p w14:paraId="6F8C39FE" w14:textId="77777777" w:rsidR="00DF1779" w:rsidRDefault="00DF1779" w:rsidP="00DF1779">
            <w:r>
              <w:t>Compliant</w:t>
            </w:r>
          </w:p>
        </w:tc>
      </w:tr>
    </w:tbl>
    <w:p w14:paraId="2FB5F39F" w14:textId="77777777" w:rsidR="00DF1779" w:rsidRDefault="00DF1779">
      <w:r>
        <w:br w:type="page"/>
      </w:r>
    </w:p>
    <w:tbl>
      <w:tblPr>
        <w:tblStyle w:val="TableGrid"/>
        <w:tblpPr w:leftFromText="180" w:rightFromText="180" w:vertAnchor="text" w:horzAnchor="margin" w:tblpY="-329"/>
        <w:tblW w:w="0" w:type="auto"/>
        <w:tblLook w:val="04A0" w:firstRow="1" w:lastRow="0" w:firstColumn="1" w:lastColumn="0" w:noHBand="0" w:noVBand="1"/>
        <w:tblCaption w:val="Summary of AODA Requirements and Compliance Status at Trent University"/>
        <w:tblDescription w:val="AODA Requirements are listed for the Customer Service Standard. The date at which compliance was/is required is noted along with a note on whether Trent University is compliant or whether work is &quot;in progress&quot; in meeting this requireement."/>
      </w:tblPr>
      <w:tblGrid>
        <w:gridCol w:w="6050"/>
        <w:gridCol w:w="1846"/>
        <w:gridCol w:w="1454"/>
      </w:tblGrid>
      <w:tr w:rsidR="00DF1779" w14:paraId="34354FEB" w14:textId="77777777" w:rsidTr="00DF1779">
        <w:tc>
          <w:tcPr>
            <w:tcW w:w="6050" w:type="dxa"/>
            <w:shd w:val="clear" w:color="auto" w:fill="F2FEA8"/>
          </w:tcPr>
          <w:p w14:paraId="724FF3B3" w14:textId="77777777" w:rsidR="00DF1779" w:rsidRDefault="00DF1779" w:rsidP="00DF1779">
            <w:pPr>
              <w:jc w:val="center"/>
            </w:pPr>
            <w:r>
              <w:t>Customer Service Standard</w:t>
            </w:r>
          </w:p>
        </w:tc>
        <w:tc>
          <w:tcPr>
            <w:tcW w:w="1846" w:type="dxa"/>
            <w:shd w:val="clear" w:color="auto" w:fill="F2FEA8"/>
          </w:tcPr>
          <w:p w14:paraId="00450B2C" w14:textId="77777777" w:rsidR="00DF1779" w:rsidRDefault="00DF1779" w:rsidP="00DF1779">
            <w:pPr>
              <w:jc w:val="center"/>
            </w:pPr>
            <w:r>
              <w:t>Deadline</w:t>
            </w:r>
          </w:p>
        </w:tc>
        <w:tc>
          <w:tcPr>
            <w:tcW w:w="1454" w:type="dxa"/>
            <w:shd w:val="clear" w:color="auto" w:fill="F2FEA8"/>
          </w:tcPr>
          <w:p w14:paraId="73CA553F" w14:textId="77777777" w:rsidR="00DF1779" w:rsidRDefault="00DF1779" w:rsidP="00DF1779">
            <w:pPr>
              <w:jc w:val="center"/>
            </w:pPr>
            <w:r>
              <w:t>Status</w:t>
            </w:r>
          </w:p>
        </w:tc>
      </w:tr>
      <w:bookmarkStart w:id="37" w:name="chartiasrcss1"/>
      <w:tr w:rsidR="00DF1779" w14:paraId="634755B4" w14:textId="77777777" w:rsidTr="00DF1779">
        <w:tc>
          <w:tcPr>
            <w:tcW w:w="6050" w:type="dxa"/>
          </w:tcPr>
          <w:p w14:paraId="7C47C029" w14:textId="77777777" w:rsidR="00DF1779" w:rsidRDefault="00AB2198" w:rsidP="00DF1779">
            <w:r>
              <w:fldChar w:fldCharType="begin"/>
            </w:r>
            <w:r>
              <w:instrText xml:space="preserve"> HYPERLINK \l "CSS1" </w:instrText>
            </w:r>
            <w:r>
              <w:fldChar w:fldCharType="separate"/>
            </w:r>
            <w:r w:rsidR="00DF1779" w:rsidRPr="00F457D2">
              <w:rPr>
                <w:rStyle w:val="Hyperlink"/>
              </w:rPr>
              <w:t>IASR s.80.46 Establishment of policies</w:t>
            </w:r>
            <w:r>
              <w:rPr>
                <w:rStyle w:val="Hyperlink"/>
              </w:rPr>
              <w:fldChar w:fldCharType="end"/>
            </w:r>
            <w:r w:rsidR="00DF1779">
              <w:t xml:space="preserve"> </w:t>
            </w:r>
            <w:bookmarkEnd w:id="37"/>
          </w:p>
        </w:tc>
        <w:tc>
          <w:tcPr>
            <w:tcW w:w="1846" w:type="dxa"/>
          </w:tcPr>
          <w:p w14:paraId="67A3E445" w14:textId="77777777" w:rsidR="00DF1779" w:rsidRDefault="00DF1779" w:rsidP="00DF1779">
            <w:r>
              <w:t>January 1, 2010</w:t>
            </w:r>
          </w:p>
        </w:tc>
        <w:tc>
          <w:tcPr>
            <w:tcW w:w="1454" w:type="dxa"/>
          </w:tcPr>
          <w:p w14:paraId="1579232E" w14:textId="77777777" w:rsidR="00DF1779" w:rsidRDefault="00DF1779" w:rsidP="00DF1779">
            <w:r>
              <w:t xml:space="preserve">Compliant </w:t>
            </w:r>
          </w:p>
        </w:tc>
      </w:tr>
      <w:bookmarkStart w:id="38" w:name="chartiasrcss2"/>
      <w:tr w:rsidR="00DF1779" w14:paraId="1D117611" w14:textId="77777777" w:rsidTr="00DF1779">
        <w:tc>
          <w:tcPr>
            <w:tcW w:w="6050" w:type="dxa"/>
          </w:tcPr>
          <w:p w14:paraId="42AFCADC" w14:textId="77777777" w:rsidR="00DF1779" w:rsidRDefault="00AB2198" w:rsidP="00DF1779">
            <w:r>
              <w:fldChar w:fldCharType="begin"/>
            </w:r>
            <w:r>
              <w:instrText xml:space="preserve"> HYPERLINK \l "CSS2" </w:instrText>
            </w:r>
            <w:r>
              <w:fldChar w:fldCharType="separate"/>
            </w:r>
            <w:r w:rsidR="00DF1779" w:rsidRPr="00F457D2">
              <w:rPr>
                <w:rStyle w:val="Hyperlink"/>
              </w:rPr>
              <w:t>IASR s.80.47 Service animals and support persons</w:t>
            </w:r>
            <w:r>
              <w:rPr>
                <w:rStyle w:val="Hyperlink"/>
              </w:rPr>
              <w:fldChar w:fldCharType="end"/>
            </w:r>
            <w:r w:rsidR="00DF1779">
              <w:t xml:space="preserve"> </w:t>
            </w:r>
            <w:bookmarkEnd w:id="38"/>
          </w:p>
        </w:tc>
        <w:tc>
          <w:tcPr>
            <w:tcW w:w="1846" w:type="dxa"/>
          </w:tcPr>
          <w:p w14:paraId="6D06260C" w14:textId="77777777" w:rsidR="00DF1779" w:rsidRDefault="00DF1779" w:rsidP="00DF1779">
            <w:r>
              <w:t>January 1, 2010</w:t>
            </w:r>
          </w:p>
        </w:tc>
        <w:tc>
          <w:tcPr>
            <w:tcW w:w="1454" w:type="dxa"/>
          </w:tcPr>
          <w:p w14:paraId="1FEE892E" w14:textId="77777777" w:rsidR="00DF1779" w:rsidRDefault="00DF1779" w:rsidP="00DF1779">
            <w:r>
              <w:t>Compliant</w:t>
            </w:r>
          </w:p>
        </w:tc>
      </w:tr>
      <w:bookmarkStart w:id="39" w:name="chartiasrcss3"/>
      <w:tr w:rsidR="00DF1779" w14:paraId="2E970165" w14:textId="77777777" w:rsidTr="00DF1779">
        <w:tc>
          <w:tcPr>
            <w:tcW w:w="6050" w:type="dxa"/>
          </w:tcPr>
          <w:p w14:paraId="41EB212C" w14:textId="77777777" w:rsidR="00DF1779" w:rsidRDefault="00AB2198" w:rsidP="00DF1779">
            <w:r>
              <w:fldChar w:fldCharType="begin"/>
            </w:r>
            <w:r>
              <w:instrText xml:space="preserve"> HYPERLINK \l "CSS3" </w:instrText>
            </w:r>
            <w:r>
              <w:fldChar w:fldCharType="separate"/>
            </w:r>
            <w:r w:rsidR="00DF1779" w:rsidRPr="00F457D2">
              <w:rPr>
                <w:rStyle w:val="Hyperlink"/>
              </w:rPr>
              <w:t>IASR s.80.48 Notice of temporary disruptions</w:t>
            </w:r>
            <w:r>
              <w:rPr>
                <w:rStyle w:val="Hyperlink"/>
              </w:rPr>
              <w:fldChar w:fldCharType="end"/>
            </w:r>
            <w:r w:rsidR="00DF1779">
              <w:t xml:space="preserve"> </w:t>
            </w:r>
            <w:bookmarkEnd w:id="39"/>
          </w:p>
        </w:tc>
        <w:tc>
          <w:tcPr>
            <w:tcW w:w="1846" w:type="dxa"/>
          </w:tcPr>
          <w:p w14:paraId="74647B42" w14:textId="77777777" w:rsidR="00DF1779" w:rsidRDefault="00DF1779" w:rsidP="00DF1779">
            <w:r>
              <w:t>January 1, 2010</w:t>
            </w:r>
          </w:p>
        </w:tc>
        <w:tc>
          <w:tcPr>
            <w:tcW w:w="1454" w:type="dxa"/>
          </w:tcPr>
          <w:p w14:paraId="4DD990DB" w14:textId="77777777" w:rsidR="00DF1779" w:rsidRDefault="00DF1779" w:rsidP="00DF1779">
            <w:r>
              <w:t>Compliant</w:t>
            </w:r>
          </w:p>
        </w:tc>
      </w:tr>
      <w:bookmarkStart w:id="40" w:name="chartiasrcss4"/>
      <w:tr w:rsidR="00DF1779" w14:paraId="2AC3C45D" w14:textId="77777777" w:rsidTr="00DF1779">
        <w:tc>
          <w:tcPr>
            <w:tcW w:w="6050" w:type="dxa"/>
          </w:tcPr>
          <w:p w14:paraId="721D3F61" w14:textId="77777777" w:rsidR="00DF1779" w:rsidRDefault="00AB2198" w:rsidP="00DF1779">
            <w:r>
              <w:fldChar w:fldCharType="begin"/>
            </w:r>
            <w:r>
              <w:instrText xml:space="preserve"> HYPERLINK \l "CSS4" </w:instrText>
            </w:r>
            <w:r>
              <w:fldChar w:fldCharType="separate"/>
            </w:r>
            <w:r w:rsidR="00DF1779" w:rsidRPr="00F457D2">
              <w:rPr>
                <w:rStyle w:val="Hyperlink"/>
              </w:rPr>
              <w:t>IASR s.80.49 Training of Staff</w:t>
            </w:r>
            <w:r>
              <w:rPr>
                <w:rStyle w:val="Hyperlink"/>
              </w:rPr>
              <w:fldChar w:fldCharType="end"/>
            </w:r>
            <w:bookmarkEnd w:id="40"/>
          </w:p>
        </w:tc>
        <w:tc>
          <w:tcPr>
            <w:tcW w:w="1846" w:type="dxa"/>
          </w:tcPr>
          <w:p w14:paraId="67155536" w14:textId="77777777" w:rsidR="00DF1779" w:rsidRDefault="00DF1779" w:rsidP="00DF1779">
            <w:r>
              <w:t>January 1, 2010</w:t>
            </w:r>
          </w:p>
        </w:tc>
        <w:tc>
          <w:tcPr>
            <w:tcW w:w="1454" w:type="dxa"/>
          </w:tcPr>
          <w:p w14:paraId="3872E4E4" w14:textId="77777777" w:rsidR="00DF1779" w:rsidRDefault="00DF1779" w:rsidP="00DF1779">
            <w:r>
              <w:t>Compliant</w:t>
            </w:r>
          </w:p>
        </w:tc>
      </w:tr>
      <w:bookmarkStart w:id="41" w:name="chartiasrcss5"/>
      <w:tr w:rsidR="00DF1779" w14:paraId="4501024E" w14:textId="77777777" w:rsidTr="00DF1779">
        <w:tc>
          <w:tcPr>
            <w:tcW w:w="6050" w:type="dxa"/>
          </w:tcPr>
          <w:p w14:paraId="3350ECD7" w14:textId="77777777" w:rsidR="00DF1779" w:rsidRDefault="00AB2198" w:rsidP="00DF1779">
            <w:r>
              <w:fldChar w:fldCharType="begin"/>
            </w:r>
            <w:r>
              <w:instrText xml:space="preserve"> HYPERLINK \l "CSS5" </w:instrText>
            </w:r>
            <w:r>
              <w:fldChar w:fldCharType="separate"/>
            </w:r>
            <w:r w:rsidR="00DF1779" w:rsidRPr="00F457D2">
              <w:rPr>
                <w:rStyle w:val="Hyperlink"/>
              </w:rPr>
              <w:t>IASR s.80.50 Feedback processes</w:t>
            </w:r>
            <w:r>
              <w:rPr>
                <w:rStyle w:val="Hyperlink"/>
              </w:rPr>
              <w:fldChar w:fldCharType="end"/>
            </w:r>
            <w:bookmarkEnd w:id="41"/>
          </w:p>
        </w:tc>
        <w:tc>
          <w:tcPr>
            <w:tcW w:w="1846" w:type="dxa"/>
          </w:tcPr>
          <w:p w14:paraId="429AD1C4" w14:textId="77777777" w:rsidR="00DF1779" w:rsidRDefault="00DF1779" w:rsidP="00DF1779">
            <w:r>
              <w:t>January 1, 2010</w:t>
            </w:r>
          </w:p>
        </w:tc>
        <w:tc>
          <w:tcPr>
            <w:tcW w:w="1454" w:type="dxa"/>
          </w:tcPr>
          <w:p w14:paraId="486E27FD" w14:textId="77777777" w:rsidR="00DF1779" w:rsidRDefault="00DF1779" w:rsidP="00DF1779">
            <w:r>
              <w:t>Compliant</w:t>
            </w:r>
          </w:p>
        </w:tc>
      </w:tr>
      <w:bookmarkStart w:id="42" w:name="chartiasrcss6"/>
      <w:tr w:rsidR="00DF1779" w14:paraId="50220CC2" w14:textId="77777777" w:rsidTr="00DF1779">
        <w:tc>
          <w:tcPr>
            <w:tcW w:w="6050" w:type="dxa"/>
          </w:tcPr>
          <w:p w14:paraId="52C24BAB" w14:textId="77777777" w:rsidR="00DF1779" w:rsidRDefault="00AB2198" w:rsidP="00DF1779">
            <w:r>
              <w:fldChar w:fldCharType="begin"/>
            </w:r>
            <w:r>
              <w:instrText xml:space="preserve"> HYPERLINK \l "CSS6" </w:instrText>
            </w:r>
            <w:r>
              <w:fldChar w:fldCharType="separate"/>
            </w:r>
            <w:r w:rsidR="00DF1779" w:rsidRPr="00F457D2">
              <w:rPr>
                <w:rStyle w:val="Hyperlink"/>
              </w:rPr>
              <w:t>IASR s.80.51 Format of documents</w:t>
            </w:r>
            <w:r>
              <w:rPr>
                <w:rStyle w:val="Hyperlink"/>
              </w:rPr>
              <w:fldChar w:fldCharType="end"/>
            </w:r>
            <w:bookmarkEnd w:id="42"/>
          </w:p>
        </w:tc>
        <w:tc>
          <w:tcPr>
            <w:tcW w:w="1846" w:type="dxa"/>
          </w:tcPr>
          <w:p w14:paraId="02DDB717" w14:textId="77777777" w:rsidR="00DF1779" w:rsidRDefault="00DF1779" w:rsidP="00DF1779">
            <w:r>
              <w:t>January 1, 2010</w:t>
            </w:r>
          </w:p>
        </w:tc>
        <w:tc>
          <w:tcPr>
            <w:tcW w:w="1454" w:type="dxa"/>
          </w:tcPr>
          <w:p w14:paraId="0EC5AA47" w14:textId="77777777" w:rsidR="00DF1779" w:rsidRDefault="00DF1779" w:rsidP="00DF1779">
            <w:r>
              <w:t>Compliant</w:t>
            </w:r>
          </w:p>
        </w:tc>
      </w:tr>
    </w:tbl>
    <w:p w14:paraId="45504A57" w14:textId="77777777" w:rsidR="00664F63" w:rsidRDefault="00664F63" w:rsidP="00664F63"/>
    <w:p w14:paraId="3440B99B" w14:textId="77777777" w:rsidR="00131E1B" w:rsidRDefault="00D23874" w:rsidP="008573D2">
      <w:pPr>
        <w:pStyle w:val="Heading2"/>
      </w:pPr>
      <w:bookmarkStart w:id="43" w:name="_Toc467746519"/>
      <w:r>
        <w:t xml:space="preserve">Planned </w:t>
      </w:r>
      <w:r w:rsidR="0038047C">
        <w:t>Action/</w:t>
      </w:r>
      <w:r>
        <w:t>Strategies</w:t>
      </w:r>
      <w:r w:rsidR="0038047C">
        <w:t xml:space="preserve"> to Meet </w:t>
      </w:r>
      <w:r w:rsidR="0019613E">
        <w:t>AODA Requirements</w:t>
      </w:r>
      <w:bookmarkEnd w:id="43"/>
      <w:r w:rsidR="0019613E">
        <w:t xml:space="preserve"> </w:t>
      </w:r>
    </w:p>
    <w:p w14:paraId="321D4C85" w14:textId="77777777" w:rsidR="00D23874" w:rsidRPr="00903647" w:rsidRDefault="00D23874" w:rsidP="00903647">
      <w:pPr>
        <w:pStyle w:val="Heading3"/>
        <w:spacing w:after="100" w:afterAutospacing="1"/>
        <w:rPr>
          <w:b/>
        </w:rPr>
      </w:pPr>
      <w:bookmarkStart w:id="44" w:name="_Toc467746520"/>
      <w:bookmarkStart w:id="45" w:name="Upcoming2"/>
      <w:r w:rsidRPr="00903647">
        <w:rPr>
          <w:b/>
        </w:rPr>
        <w:t>Upcoming Requirements</w:t>
      </w:r>
      <w:bookmarkEnd w:id="44"/>
    </w:p>
    <w:bookmarkEnd w:id="45"/>
    <w:p w14:paraId="290D62A9" w14:textId="77777777" w:rsidR="0019613E" w:rsidRPr="00AB2198" w:rsidRDefault="0019613E" w:rsidP="00AB2198">
      <w:pPr>
        <w:pStyle w:val="Heading4"/>
        <w:rPr>
          <w:rStyle w:val="SubtleEmphasis"/>
          <w:rFonts w:ascii="Arial" w:hAnsi="Arial" w:cs="Arial"/>
          <w:b/>
          <w:i/>
          <w:color w:val="auto"/>
        </w:rPr>
      </w:pPr>
      <w:r w:rsidRPr="00AB2198">
        <w:rPr>
          <w:rStyle w:val="SubtleEmphasis"/>
          <w:rFonts w:ascii="Arial" w:hAnsi="Arial" w:cs="Arial"/>
          <w:b/>
          <w:color w:val="auto"/>
        </w:rPr>
        <w:t xml:space="preserve">Accessible Websites and Web Content </w:t>
      </w:r>
    </w:p>
    <w:tbl>
      <w:tblPr>
        <w:tblStyle w:val="TableGrid"/>
        <w:tblW w:w="0" w:type="auto"/>
        <w:tblLook w:val="04A0" w:firstRow="1" w:lastRow="0" w:firstColumn="1" w:lastColumn="0" w:noHBand="0" w:noVBand="1"/>
        <w:tblCaption w:val="Planned Strategies to meet AODA Requirements for web content"/>
        <w:tblDescription w:val="Deadline for Compliance is January 1, 2021. Departmental Champions are Marketing and Communications and CHREA. Actions are required to meet this requirements and they are listed below the table. "/>
      </w:tblPr>
      <w:tblGrid>
        <w:gridCol w:w="4661"/>
        <w:gridCol w:w="4689"/>
      </w:tblGrid>
      <w:tr w:rsidR="0019613E" w14:paraId="44B12C54" w14:textId="77777777" w:rsidTr="008E658C">
        <w:tc>
          <w:tcPr>
            <w:tcW w:w="5105" w:type="dxa"/>
          </w:tcPr>
          <w:p w14:paraId="018EA6CB" w14:textId="77777777" w:rsidR="0019613E" w:rsidRPr="009066F9" w:rsidRDefault="0019613E" w:rsidP="008E658C">
            <w:pPr>
              <w:rPr>
                <w:b/>
              </w:rPr>
            </w:pPr>
            <w:r w:rsidRPr="009066F9">
              <w:rPr>
                <w:b/>
              </w:rPr>
              <w:t>AODA Reference:</w:t>
            </w:r>
          </w:p>
        </w:tc>
        <w:tc>
          <w:tcPr>
            <w:tcW w:w="5105" w:type="dxa"/>
          </w:tcPr>
          <w:p w14:paraId="58A17277" w14:textId="77777777" w:rsidR="0019613E" w:rsidRDefault="007519EB" w:rsidP="008E658C">
            <w:bookmarkStart w:id="46" w:name="Section142021"/>
            <w:r>
              <w:t>IASR s.14 -</w:t>
            </w:r>
            <w:r w:rsidR="0019613E">
              <w:t xml:space="preserve"> Informat</w:t>
            </w:r>
            <w:r w:rsidR="00131E1B">
              <w:t xml:space="preserve">ion and Communications </w:t>
            </w:r>
            <w:bookmarkEnd w:id="46"/>
          </w:p>
        </w:tc>
      </w:tr>
      <w:tr w:rsidR="0019613E" w14:paraId="42C09656" w14:textId="77777777" w:rsidTr="008E658C">
        <w:tc>
          <w:tcPr>
            <w:tcW w:w="5105" w:type="dxa"/>
          </w:tcPr>
          <w:p w14:paraId="5BFE6370" w14:textId="77777777" w:rsidR="0019613E" w:rsidRPr="009066F9" w:rsidRDefault="0019613E" w:rsidP="008E658C">
            <w:pPr>
              <w:rPr>
                <w:b/>
              </w:rPr>
            </w:pPr>
            <w:r w:rsidRPr="009066F9">
              <w:rPr>
                <w:b/>
              </w:rPr>
              <w:t xml:space="preserve">Deadline and Status: </w:t>
            </w:r>
          </w:p>
        </w:tc>
        <w:tc>
          <w:tcPr>
            <w:tcW w:w="5105" w:type="dxa"/>
          </w:tcPr>
          <w:p w14:paraId="4939A01F" w14:textId="77777777" w:rsidR="0019613E" w:rsidRDefault="0019613E" w:rsidP="008E658C">
            <w:r>
              <w:t>January 1, 2021 – In progress</w:t>
            </w:r>
          </w:p>
        </w:tc>
      </w:tr>
      <w:tr w:rsidR="0019613E" w14:paraId="78C9FF62" w14:textId="77777777" w:rsidTr="008E658C">
        <w:tc>
          <w:tcPr>
            <w:tcW w:w="5105" w:type="dxa"/>
          </w:tcPr>
          <w:p w14:paraId="7154293F" w14:textId="77777777" w:rsidR="0019613E" w:rsidRPr="009066F9" w:rsidRDefault="0019613E" w:rsidP="008E658C">
            <w:pPr>
              <w:rPr>
                <w:b/>
              </w:rPr>
            </w:pPr>
            <w:r>
              <w:rPr>
                <w:b/>
              </w:rPr>
              <w:t xml:space="preserve">Departmental Champions: </w:t>
            </w:r>
          </w:p>
        </w:tc>
        <w:tc>
          <w:tcPr>
            <w:tcW w:w="5105" w:type="dxa"/>
          </w:tcPr>
          <w:p w14:paraId="44BF4515" w14:textId="77777777" w:rsidR="0019613E" w:rsidRDefault="0019613E" w:rsidP="008E658C">
            <w:r>
              <w:t>Marketing and Communications (Web Team</w:t>
            </w:r>
            <w:r w:rsidR="00A10D87">
              <w:t>) and CHREA</w:t>
            </w:r>
          </w:p>
        </w:tc>
      </w:tr>
      <w:tr w:rsidR="0038047C" w14:paraId="51F39F87" w14:textId="77777777" w:rsidTr="008E658C">
        <w:tc>
          <w:tcPr>
            <w:tcW w:w="5105" w:type="dxa"/>
          </w:tcPr>
          <w:p w14:paraId="78573AC0" w14:textId="77777777" w:rsidR="0038047C" w:rsidRDefault="0038047C" w:rsidP="008E658C">
            <w:pPr>
              <w:rPr>
                <w:b/>
              </w:rPr>
            </w:pPr>
            <w:r>
              <w:rPr>
                <w:b/>
              </w:rPr>
              <w:t>Action Required:</w:t>
            </w:r>
          </w:p>
        </w:tc>
        <w:tc>
          <w:tcPr>
            <w:tcW w:w="5105" w:type="dxa"/>
          </w:tcPr>
          <w:p w14:paraId="4575C42C" w14:textId="77777777" w:rsidR="0038047C" w:rsidRDefault="0038047C" w:rsidP="008E658C">
            <w:r>
              <w:t xml:space="preserve">Yes – See actions below. </w:t>
            </w:r>
          </w:p>
        </w:tc>
      </w:tr>
    </w:tbl>
    <w:p w14:paraId="0A3BEC31" w14:textId="05CBF2FC" w:rsidR="0019613E" w:rsidRDefault="00F4020E" w:rsidP="0019613E">
      <w:hyperlink w:anchor="chartIASR14AA" w:history="1">
        <w:r w:rsidR="0019613E" w:rsidRPr="00EA7064">
          <w:rPr>
            <w:rStyle w:val="Hyperlink"/>
          </w:rPr>
          <w:t>Section 14</w:t>
        </w:r>
      </w:hyperlink>
      <w:r w:rsidR="0019613E">
        <w:t xml:space="preserve"> requires that all websites and web content</w:t>
      </w:r>
      <w:r w:rsidR="00D4228B">
        <w:t>, published to the web after January 1, 2012,</w:t>
      </w:r>
      <w:r w:rsidR="0019613E">
        <w:t xml:space="preserve"> be compliant to WCAG Level AA Standards with the exception of live captioning and pre-recorded audio descriptions. </w:t>
      </w:r>
    </w:p>
    <w:p w14:paraId="37E0C7BA" w14:textId="77777777" w:rsidR="0038047C" w:rsidRPr="0038047C" w:rsidRDefault="0038047C" w:rsidP="0019613E">
      <w:pPr>
        <w:rPr>
          <w:b/>
        </w:rPr>
      </w:pPr>
      <w:r w:rsidRPr="0038047C">
        <w:rPr>
          <w:b/>
        </w:rPr>
        <w:t>Actions:</w:t>
      </w:r>
    </w:p>
    <w:p w14:paraId="455AFFB0" w14:textId="77777777" w:rsidR="0019613E" w:rsidRDefault="0019613E" w:rsidP="0019613E">
      <w:r>
        <w:t xml:space="preserve">Trent University will take the following actions to meet this requirement: </w:t>
      </w:r>
    </w:p>
    <w:p w14:paraId="4F0FE9F7" w14:textId="77777777" w:rsidR="0019613E" w:rsidRPr="00AF7DC7" w:rsidRDefault="00A10D87" w:rsidP="0019613E">
      <w:pPr>
        <w:pStyle w:val="ListParagraph"/>
        <w:numPr>
          <w:ilvl w:val="0"/>
          <w:numId w:val="23"/>
        </w:numPr>
        <w:tabs>
          <w:tab w:val="left" w:pos="360"/>
        </w:tabs>
        <w:spacing w:before="59"/>
      </w:pPr>
      <w:r>
        <w:t>Track and address</w:t>
      </w:r>
      <w:r w:rsidR="0019613E" w:rsidRPr="00AF7DC7">
        <w:t xml:space="preserve"> </w:t>
      </w:r>
      <w:r>
        <w:t xml:space="preserve">accessibility </w:t>
      </w:r>
      <w:r w:rsidR="0019613E" w:rsidRPr="00AF7DC7">
        <w:t xml:space="preserve">issues as </w:t>
      </w:r>
      <w:r>
        <w:t xml:space="preserve">identified through </w:t>
      </w:r>
      <w:r w:rsidR="002A7DB9">
        <w:t xml:space="preserve">third party assessments and </w:t>
      </w:r>
      <w:r w:rsidR="00D150B0">
        <w:t xml:space="preserve">the </w:t>
      </w:r>
      <w:r>
        <w:t>Marketing and Communications</w:t>
      </w:r>
      <w:r w:rsidR="00D150B0">
        <w:t xml:space="preserve"> department</w:t>
      </w:r>
      <w:r>
        <w:t>.</w:t>
      </w:r>
    </w:p>
    <w:p w14:paraId="308F7934" w14:textId="77777777" w:rsidR="0019613E" w:rsidRPr="00AF7DC7" w:rsidRDefault="00C97CD0" w:rsidP="0019613E">
      <w:pPr>
        <w:pStyle w:val="ListParagraph"/>
        <w:numPr>
          <w:ilvl w:val="0"/>
          <w:numId w:val="23"/>
        </w:numPr>
        <w:tabs>
          <w:tab w:val="left" w:pos="360"/>
        </w:tabs>
        <w:spacing w:before="59"/>
      </w:pPr>
      <w:r>
        <w:t>Invest in software, such as Site Improve,</w:t>
      </w:r>
      <w:r w:rsidR="0019613E" w:rsidRPr="00AF7DC7">
        <w:t xml:space="preserve"> to enhance </w:t>
      </w:r>
      <w:r>
        <w:t xml:space="preserve">the University’s </w:t>
      </w:r>
      <w:r w:rsidR="0019613E" w:rsidRPr="00AF7DC7">
        <w:t xml:space="preserve">ability to audit accessibility of site. </w:t>
      </w:r>
    </w:p>
    <w:p w14:paraId="0B299CE1" w14:textId="77777777" w:rsidR="0019613E" w:rsidRPr="00AF7DC7" w:rsidRDefault="00A10D87" w:rsidP="0019613E">
      <w:pPr>
        <w:pStyle w:val="ListParagraph"/>
        <w:numPr>
          <w:ilvl w:val="0"/>
          <w:numId w:val="23"/>
        </w:numPr>
        <w:tabs>
          <w:tab w:val="left" w:pos="360"/>
        </w:tabs>
        <w:spacing w:before="59"/>
      </w:pPr>
      <w:r>
        <w:t>Marketing and Communication will support CHREA in training</w:t>
      </w:r>
      <w:r w:rsidR="0019613E" w:rsidRPr="00AF7DC7">
        <w:t xml:space="preserve"> staff and faculty on the use of </w:t>
      </w:r>
      <w:r>
        <w:t xml:space="preserve">document conversion software (such as </w:t>
      </w:r>
      <w:r w:rsidR="0019613E" w:rsidRPr="00AF7DC7">
        <w:t>Equidox</w:t>
      </w:r>
      <w:r>
        <w:t>)</w:t>
      </w:r>
      <w:r w:rsidR="0019613E" w:rsidRPr="00AF7DC7">
        <w:t xml:space="preserve"> to address accessibility issues with PDFs on website.</w:t>
      </w:r>
    </w:p>
    <w:p w14:paraId="5674272C" w14:textId="77777777" w:rsidR="0019613E" w:rsidRPr="00AF7DC7" w:rsidRDefault="0019613E" w:rsidP="0019613E">
      <w:pPr>
        <w:pStyle w:val="ListParagraph"/>
        <w:numPr>
          <w:ilvl w:val="0"/>
          <w:numId w:val="23"/>
        </w:numPr>
        <w:tabs>
          <w:tab w:val="left" w:pos="360"/>
        </w:tabs>
        <w:spacing w:before="59"/>
      </w:pPr>
      <w:r w:rsidRPr="00AF7DC7">
        <w:t xml:space="preserve">Migrate website to Drupal </w:t>
      </w:r>
      <w:r w:rsidR="00A10D87">
        <w:t>8</w:t>
      </w:r>
      <w:r w:rsidRPr="00AF7DC7">
        <w:t xml:space="preserve"> platform by 2021. </w:t>
      </w:r>
    </w:p>
    <w:p w14:paraId="410FAF1B" w14:textId="77777777" w:rsidR="0019613E" w:rsidRPr="00AF7DC7" w:rsidRDefault="0019613E" w:rsidP="0019613E">
      <w:pPr>
        <w:pStyle w:val="ListParagraph"/>
        <w:numPr>
          <w:ilvl w:val="0"/>
          <w:numId w:val="23"/>
        </w:numPr>
        <w:tabs>
          <w:tab w:val="left" w:pos="360"/>
        </w:tabs>
        <w:spacing w:before="59"/>
      </w:pPr>
      <w:r w:rsidRPr="00AF7DC7">
        <w:t xml:space="preserve">Develop and maintain online resources for web accessibility. </w:t>
      </w:r>
    </w:p>
    <w:p w14:paraId="11BD7CC6" w14:textId="033A4E5E" w:rsidR="0019613E" w:rsidRPr="00AF7DC7" w:rsidRDefault="00903647" w:rsidP="0019613E">
      <w:pPr>
        <w:pStyle w:val="ListParagraph"/>
        <w:numPr>
          <w:ilvl w:val="0"/>
          <w:numId w:val="23"/>
        </w:numPr>
        <w:tabs>
          <w:tab w:val="left" w:pos="360"/>
        </w:tabs>
        <w:spacing w:before="59"/>
      </w:pPr>
      <w:r>
        <w:t>Marketing and Communications will d</w:t>
      </w:r>
      <w:r w:rsidR="0019613E" w:rsidRPr="00AF7DC7">
        <w:t>evelop and distribute quarterly bulletins on web accessibi</w:t>
      </w:r>
      <w:r w:rsidR="0019613E">
        <w:t>lity to content contributors.</w:t>
      </w:r>
      <w:r w:rsidR="00C97CD0">
        <w:t xml:space="preserve"> </w:t>
      </w:r>
    </w:p>
    <w:p w14:paraId="2D6862DD" w14:textId="77777777" w:rsidR="00651D0B" w:rsidRDefault="0019613E" w:rsidP="00651D0B">
      <w:pPr>
        <w:pStyle w:val="ListParagraph"/>
        <w:numPr>
          <w:ilvl w:val="0"/>
          <w:numId w:val="23"/>
        </w:numPr>
        <w:tabs>
          <w:tab w:val="left" w:pos="360"/>
        </w:tabs>
        <w:spacing w:before="59"/>
        <w:rPr>
          <w:rFonts w:eastAsia="Arial" w:cs="Arial"/>
        </w:rPr>
      </w:pPr>
      <w:r w:rsidRPr="00AF7DC7">
        <w:rPr>
          <w:rFonts w:eastAsia="Arial" w:cs="Arial"/>
        </w:rPr>
        <w:t>Provide resources for web content contributors to take accessibility and/or AODA training.</w:t>
      </w:r>
    </w:p>
    <w:p w14:paraId="18A59533" w14:textId="77777777" w:rsidR="002A7DB9" w:rsidRDefault="002A7DB9" w:rsidP="002A7DB9">
      <w:pPr>
        <w:pStyle w:val="ListParagraph"/>
        <w:numPr>
          <w:ilvl w:val="0"/>
          <w:numId w:val="23"/>
        </w:numPr>
      </w:pPr>
      <w:r>
        <w:t>Provide employees with the tools and training needed to create accessible content.</w:t>
      </w:r>
    </w:p>
    <w:p w14:paraId="235981FF" w14:textId="77777777" w:rsidR="002A7DB9" w:rsidRPr="002B7EAC" w:rsidRDefault="002A7DB9" w:rsidP="00903647">
      <w:pPr>
        <w:pStyle w:val="ListParagraph"/>
        <w:numPr>
          <w:ilvl w:val="0"/>
          <w:numId w:val="23"/>
        </w:numPr>
        <w:spacing w:after="100" w:afterAutospacing="1"/>
      </w:pPr>
      <w:r>
        <w:t>Review best practices at other universities.</w:t>
      </w:r>
    </w:p>
    <w:p w14:paraId="3BDCDD84" w14:textId="77777777" w:rsidR="00651D0B" w:rsidRPr="00AB2198" w:rsidRDefault="00651D0B" w:rsidP="00AB2198">
      <w:pPr>
        <w:pStyle w:val="Heading4"/>
        <w:rPr>
          <w:rStyle w:val="SubtleEmphasis"/>
          <w:rFonts w:ascii="Arial" w:hAnsi="Arial" w:cs="Arial"/>
          <w:b/>
          <w:i/>
          <w:color w:val="auto"/>
        </w:rPr>
      </w:pPr>
      <w:r w:rsidRPr="00AB2198">
        <w:rPr>
          <w:rStyle w:val="SubtleEmphasis"/>
          <w:rFonts w:ascii="Arial" w:hAnsi="Arial" w:cs="Arial"/>
          <w:b/>
          <w:color w:val="auto"/>
        </w:rPr>
        <w:t>Digital and Multimedia Resources for Libraries of Educational and Training Institutions</w:t>
      </w:r>
    </w:p>
    <w:tbl>
      <w:tblPr>
        <w:tblStyle w:val="TableGrid"/>
        <w:tblW w:w="0" w:type="auto"/>
        <w:tblLook w:val="04A0" w:firstRow="1" w:lastRow="0" w:firstColumn="1" w:lastColumn="0" w:noHBand="0" w:noVBand="1"/>
        <w:tblCaption w:val="Digital and Multimedia Resources in Libraries"/>
        <w:tblDescription w:val="AODA Referenced Section is IASR 18 of Information and Communications Standard. The deadline for compliance is January 1, 2020 and the status of the work is that it is in progress. Action is required. Please see list below table for action items. "/>
      </w:tblPr>
      <w:tblGrid>
        <w:gridCol w:w="4629"/>
        <w:gridCol w:w="4721"/>
      </w:tblGrid>
      <w:tr w:rsidR="00651D0B" w14:paraId="501473CB" w14:textId="77777777" w:rsidTr="00651D0B">
        <w:tc>
          <w:tcPr>
            <w:tcW w:w="5105" w:type="dxa"/>
          </w:tcPr>
          <w:p w14:paraId="232AEE8A" w14:textId="77777777" w:rsidR="00651D0B" w:rsidRDefault="00651D0B" w:rsidP="00651D0B">
            <w:pPr>
              <w:rPr>
                <w:b/>
              </w:rPr>
            </w:pPr>
            <w:r>
              <w:rPr>
                <w:b/>
              </w:rPr>
              <w:t>AODA Reference:</w:t>
            </w:r>
          </w:p>
        </w:tc>
        <w:tc>
          <w:tcPr>
            <w:tcW w:w="5105" w:type="dxa"/>
          </w:tcPr>
          <w:p w14:paraId="410DF8F4" w14:textId="77777777" w:rsidR="00651D0B" w:rsidRPr="00651D0B" w:rsidRDefault="007519EB" w:rsidP="00651D0B">
            <w:bookmarkStart w:id="47" w:name="Section182020"/>
            <w:r>
              <w:t>IASR s.18 – Information and Communications</w:t>
            </w:r>
            <w:bookmarkEnd w:id="47"/>
          </w:p>
        </w:tc>
      </w:tr>
      <w:tr w:rsidR="00651D0B" w14:paraId="35777843" w14:textId="77777777" w:rsidTr="00651D0B">
        <w:tc>
          <w:tcPr>
            <w:tcW w:w="5105" w:type="dxa"/>
          </w:tcPr>
          <w:p w14:paraId="3BAB13B4" w14:textId="77777777" w:rsidR="00651D0B" w:rsidRDefault="00651D0B" w:rsidP="00651D0B">
            <w:pPr>
              <w:rPr>
                <w:b/>
              </w:rPr>
            </w:pPr>
            <w:r>
              <w:rPr>
                <w:b/>
              </w:rPr>
              <w:t>Deadline and Status:</w:t>
            </w:r>
          </w:p>
        </w:tc>
        <w:tc>
          <w:tcPr>
            <w:tcW w:w="5105" w:type="dxa"/>
          </w:tcPr>
          <w:p w14:paraId="2D1FBBE1" w14:textId="77777777" w:rsidR="00651D0B" w:rsidRPr="00651D0B" w:rsidRDefault="00651D0B" w:rsidP="00651D0B">
            <w:r>
              <w:t>January 1, 2020 – In progress</w:t>
            </w:r>
          </w:p>
        </w:tc>
      </w:tr>
      <w:tr w:rsidR="0035330C" w14:paraId="39DB97FC" w14:textId="77777777" w:rsidTr="00651D0B">
        <w:tc>
          <w:tcPr>
            <w:tcW w:w="5105" w:type="dxa"/>
          </w:tcPr>
          <w:p w14:paraId="434D6DCB" w14:textId="77777777" w:rsidR="0035330C" w:rsidRDefault="0035330C" w:rsidP="00651D0B">
            <w:pPr>
              <w:rPr>
                <w:b/>
              </w:rPr>
            </w:pPr>
            <w:r>
              <w:rPr>
                <w:b/>
              </w:rPr>
              <w:t>Departmental Champions:</w:t>
            </w:r>
          </w:p>
        </w:tc>
        <w:tc>
          <w:tcPr>
            <w:tcW w:w="5105" w:type="dxa"/>
          </w:tcPr>
          <w:p w14:paraId="0C79DB38" w14:textId="77777777" w:rsidR="0035330C" w:rsidRDefault="0035330C" w:rsidP="00651D0B">
            <w:r>
              <w:t xml:space="preserve">Learning and Liaison Librarians – </w:t>
            </w:r>
            <w:hyperlink r:id="rId10" w:history="1">
              <w:r w:rsidRPr="00070190">
                <w:rPr>
                  <w:rStyle w:val="Hyperlink"/>
                </w:rPr>
                <w:t>libraryhelp@trentu.ca</w:t>
              </w:r>
            </w:hyperlink>
            <w:r>
              <w:t xml:space="preserve"> </w:t>
            </w:r>
          </w:p>
        </w:tc>
      </w:tr>
      <w:tr w:rsidR="0038047C" w14:paraId="5BDB858D" w14:textId="77777777" w:rsidTr="00651D0B">
        <w:tc>
          <w:tcPr>
            <w:tcW w:w="5105" w:type="dxa"/>
          </w:tcPr>
          <w:p w14:paraId="38627191" w14:textId="77777777" w:rsidR="0038047C" w:rsidRDefault="0038047C" w:rsidP="00651D0B">
            <w:pPr>
              <w:rPr>
                <w:b/>
              </w:rPr>
            </w:pPr>
            <w:r>
              <w:rPr>
                <w:b/>
              </w:rPr>
              <w:t xml:space="preserve">Action Required </w:t>
            </w:r>
          </w:p>
        </w:tc>
        <w:tc>
          <w:tcPr>
            <w:tcW w:w="5105" w:type="dxa"/>
          </w:tcPr>
          <w:p w14:paraId="33ABAB68" w14:textId="77777777" w:rsidR="0038047C" w:rsidRDefault="0038047C" w:rsidP="00651D0B">
            <w:r>
              <w:t>Yes – see actions below</w:t>
            </w:r>
          </w:p>
        </w:tc>
      </w:tr>
    </w:tbl>
    <w:p w14:paraId="0F9F6B16" w14:textId="77777777" w:rsidR="00651D0B" w:rsidRDefault="00F4020E" w:rsidP="00651D0B">
      <w:hyperlink w:anchor="chartiasr18AA" w:history="1">
        <w:r w:rsidR="00651D0B" w:rsidRPr="003C7335">
          <w:rPr>
            <w:rStyle w:val="Hyperlink"/>
          </w:rPr>
          <w:t>Section 18</w:t>
        </w:r>
      </w:hyperlink>
      <w:r w:rsidR="00651D0B" w:rsidRPr="00651D0B">
        <w:t xml:space="preserve"> requires that libraries of educational and training institutions </w:t>
      </w:r>
      <w:r w:rsidR="00651D0B">
        <w:t xml:space="preserve">provide, procure or acquire by other means digital and multimedia resources in accessible or conversion-ready formats, upon request. Exceptions to this include rare books, special collections, archival material and donations. </w:t>
      </w:r>
    </w:p>
    <w:p w14:paraId="71DBDDF1" w14:textId="77777777" w:rsidR="0038047C" w:rsidRPr="0038047C" w:rsidRDefault="0038047C" w:rsidP="00327F13">
      <w:pPr>
        <w:rPr>
          <w:b/>
        </w:rPr>
      </w:pPr>
      <w:r w:rsidRPr="0038047C">
        <w:rPr>
          <w:b/>
        </w:rPr>
        <w:t>Actions:</w:t>
      </w:r>
    </w:p>
    <w:p w14:paraId="1ADE542C" w14:textId="77777777" w:rsidR="00327F13" w:rsidRPr="00651D0B" w:rsidRDefault="00327F13" w:rsidP="00327F13">
      <w:r>
        <w:t xml:space="preserve">Trent University will take the following action to meet this requirement: </w:t>
      </w:r>
    </w:p>
    <w:p w14:paraId="5E4FEBEE" w14:textId="77777777" w:rsidR="00327F13" w:rsidRDefault="00327F13" w:rsidP="00327F13">
      <w:pPr>
        <w:pStyle w:val="ListParagraph"/>
        <w:numPr>
          <w:ilvl w:val="0"/>
          <w:numId w:val="20"/>
        </w:numPr>
      </w:pPr>
      <w:r>
        <w:t>Support the Accessible Content E-Portal (ACE Portal) through ongoing financial and professional commitment to Scholars Portal.</w:t>
      </w:r>
    </w:p>
    <w:p w14:paraId="3B1B0265" w14:textId="77777777" w:rsidR="00327F13" w:rsidRDefault="00327F13" w:rsidP="00327F13">
      <w:pPr>
        <w:pStyle w:val="ListParagraph"/>
        <w:numPr>
          <w:ilvl w:val="0"/>
          <w:numId w:val="20"/>
        </w:numPr>
      </w:pPr>
      <w:r>
        <w:t xml:space="preserve">Continue to work with </w:t>
      </w:r>
      <w:r w:rsidR="00015506">
        <w:t>the Student Accessibility Services department (</w:t>
      </w:r>
      <w:r>
        <w:t>SAS</w:t>
      </w:r>
      <w:r w:rsidR="00015506">
        <w:t>)</w:t>
      </w:r>
      <w:r>
        <w:t xml:space="preserve"> to support registered SAS students using the ACE Portal. </w:t>
      </w:r>
    </w:p>
    <w:p w14:paraId="1637BCFA" w14:textId="77777777" w:rsidR="00327F13" w:rsidRDefault="00327F13" w:rsidP="00327F13">
      <w:pPr>
        <w:pStyle w:val="ListParagraph"/>
        <w:numPr>
          <w:ilvl w:val="0"/>
          <w:numId w:val="20"/>
        </w:numPr>
      </w:pPr>
      <w:r>
        <w:t xml:space="preserve">Whenever possible, procure material in an accessible format/version that takes into account the ability of a wide variety of end users. </w:t>
      </w:r>
    </w:p>
    <w:p w14:paraId="735985F4" w14:textId="77777777" w:rsidR="0035330C" w:rsidRDefault="0035330C" w:rsidP="0035330C">
      <w:pPr>
        <w:pStyle w:val="ListParagraph"/>
        <w:numPr>
          <w:ilvl w:val="0"/>
          <w:numId w:val="20"/>
        </w:numPr>
      </w:pPr>
      <w:r>
        <w:t xml:space="preserve">When acquisition of accessible materials is not possible, upon request and in conjunction with SAS the library will: </w:t>
      </w:r>
    </w:p>
    <w:p w14:paraId="4C74D840" w14:textId="77777777" w:rsidR="0035330C" w:rsidRDefault="0035330C" w:rsidP="0035330C">
      <w:pPr>
        <w:pStyle w:val="ListParagraph"/>
        <w:numPr>
          <w:ilvl w:val="0"/>
          <w:numId w:val="22"/>
        </w:numPr>
      </w:pPr>
      <w:r>
        <w:t>Document why it was not possible to acquire an accessible format/version.</w:t>
      </w:r>
    </w:p>
    <w:p w14:paraId="3998FDC5" w14:textId="77777777" w:rsidR="0035330C" w:rsidRDefault="0035330C" w:rsidP="0035330C">
      <w:pPr>
        <w:pStyle w:val="ListParagraph"/>
        <w:numPr>
          <w:ilvl w:val="0"/>
          <w:numId w:val="22"/>
        </w:numPr>
      </w:pPr>
      <w:r>
        <w:t>Document steps to identify alternative accessible resources.</w:t>
      </w:r>
    </w:p>
    <w:p w14:paraId="3D4C4555" w14:textId="77777777" w:rsidR="0035330C" w:rsidRDefault="0035330C" w:rsidP="0035330C">
      <w:pPr>
        <w:pStyle w:val="ListParagraph"/>
        <w:numPr>
          <w:ilvl w:val="0"/>
          <w:numId w:val="22"/>
        </w:numPr>
      </w:pPr>
      <w:r>
        <w:t xml:space="preserve">Document a plan in conjunction with SAS for obtaining an accessible format if it is requested. </w:t>
      </w:r>
    </w:p>
    <w:p w14:paraId="320CB4C2" w14:textId="77777777" w:rsidR="0035330C" w:rsidRDefault="0035330C" w:rsidP="0035330C">
      <w:pPr>
        <w:pStyle w:val="ListParagraph"/>
        <w:numPr>
          <w:ilvl w:val="0"/>
          <w:numId w:val="20"/>
        </w:numPr>
      </w:pPr>
      <w:r w:rsidRPr="0035330C">
        <w:t xml:space="preserve">Work with stakeholders (e.g. other institutions, producers of material, internal departments) and SAS to produce, procure or acquire accessible or conversion-ready formats when requested. </w:t>
      </w:r>
    </w:p>
    <w:p w14:paraId="2C7F3904" w14:textId="77777777" w:rsidR="0019613E" w:rsidRPr="00903647" w:rsidRDefault="00AF7DC7" w:rsidP="001F7C7F">
      <w:pPr>
        <w:pStyle w:val="Heading3"/>
        <w:spacing w:after="100" w:afterAutospacing="1"/>
        <w:rPr>
          <w:b/>
        </w:rPr>
      </w:pPr>
      <w:bookmarkStart w:id="48" w:name="_Toc467746521"/>
      <w:r w:rsidRPr="00903647">
        <w:rPr>
          <w:b/>
        </w:rPr>
        <w:t>Ongoing</w:t>
      </w:r>
      <w:r w:rsidR="0038047C" w:rsidRPr="00903647">
        <w:rPr>
          <w:b/>
        </w:rPr>
        <w:t xml:space="preserve"> and</w:t>
      </w:r>
      <w:r w:rsidR="009039DD" w:rsidRPr="00903647">
        <w:rPr>
          <w:b/>
        </w:rPr>
        <w:t xml:space="preserve"> Previous</w:t>
      </w:r>
      <w:r w:rsidRPr="00903647">
        <w:rPr>
          <w:b/>
        </w:rPr>
        <w:t xml:space="preserve"> Requirements</w:t>
      </w:r>
      <w:bookmarkEnd w:id="48"/>
    </w:p>
    <w:p w14:paraId="27BB0D52" w14:textId="77777777" w:rsidR="0038047C" w:rsidRPr="00AB2198" w:rsidRDefault="0038047C" w:rsidP="00AB2198">
      <w:pPr>
        <w:pStyle w:val="Heading4"/>
        <w:rPr>
          <w:rStyle w:val="SubtleEmphasis"/>
          <w:rFonts w:ascii="Arial" w:hAnsi="Arial" w:cs="Arial"/>
          <w:b/>
          <w:i/>
          <w:color w:val="auto"/>
        </w:rPr>
      </w:pPr>
      <w:r w:rsidRPr="00AB2198">
        <w:rPr>
          <w:rStyle w:val="SubtleEmphasis"/>
          <w:rFonts w:ascii="Arial" w:hAnsi="Arial" w:cs="Arial"/>
          <w:b/>
          <w:color w:val="auto"/>
        </w:rPr>
        <w:t xml:space="preserve">Establish Accessibility Policies </w:t>
      </w:r>
    </w:p>
    <w:tbl>
      <w:tblPr>
        <w:tblStyle w:val="TableGrid"/>
        <w:tblW w:w="0" w:type="auto"/>
        <w:tblLook w:val="04A0" w:firstRow="1" w:lastRow="0" w:firstColumn="1" w:lastColumn="0" w:noHBand="0" w:noVBand="1"/>
        <w:tblCaption w:val="Establish Accessibility Policies"/>
        <w:tblDescription w:val="AODA Referenced Section is IASR 3 General Requirements. Deadline for compliance was January 1, 2013 and Trent is currently in compliance with this standard. The deaprtmental champion is the centre for Human Rights, Equity and Accessibility. Action is required. Please see action items listed below table. "/>
      </w:tblPr>
      <w:tblGrid>
        <w:gridCol w:w="4676"/>
        <w:gridCol w:w="4674"/>
      </w:tblGrid>
      <w:tr w:rsidR="0038047C" w14:paraId="6ACFD411" w14:textId="77777777" w:rsidTr="0038047C">
        <w:tc>
          <w:tcPr>
            <w:tcW w:w="5105" w:type="dxa"/>
          </w:tcPr>
          <w:p w14:paraId="4DFAC57A" w14:textId="77777777" w:rsidR="0038047C" w:rsidRDefault="0038047C" w:rsidP="0019613E">
            <w:pPr>
              <w:rPr>
                <w:b/>
              </w:rPr>
            </w:pPr>
            <w:r>
              <w:rPr>
                <w:b/>
              </w:rPr>
              <w:t>AODA Reference:</w:t>
            </w:r>
          </w:p>
        </w:tc>
        <w:tc>
          <w:tcPr>
            <w:tcW w:w="5105" w:type="dxa"/>
          </w:tcPr>
          <w:p w14:paraId="2876A620" w14:textId="77777777" w:rsidR="0038047C" w:rsidRPr="0038047C" w:rsidRDefault="0038047C" w:rsidP="0019613E">
            <w:bookmarkStart w:id="49" w:name="IASR3"/>
            <w:r w:rsidRPr="0038047C">
              <w:t>IASR s.3 – General Requirements</w:t>
            </w:r>
            <w:bookmarkEnd w:id="49"/>
          </w:p>
        </w:tc>
      </w:tr>
      <w:tr w:rsidR="0038047C" w14:paraId="3BA28FD6" w14:textId="77777777" w:rsidTr="0038047C">
        <w:tc>
          <w:tcPr>
            <w:tcW w:w="5105" w:type="dxa"/>
          </w:tcPr>
          <w:p w14:paraId="42078417" w14:textId="77777777" w:rsidR="0038047C" w:rsidRDefault="0038047C" w:rsidP="0019613E">
            <w:pPr>
              <w:rPr>
                <w:b/>
              </w:rPr>
            </w:pPr>
            <w:r>
              <w:rPr>
                <w:b/>
              </w:rPr>
              <w:t>Deadline and Status:</w:t>
            </w:r>
          </w:p>
        </w:tc>
        <w:tc>
          <w:tcPr>
            <w:tcW w:w="5105" w:type="dxa"/>
          </w:tcPr>
          <w:p w14:paraId="35634032" w14:textId="77777777" w:rsidR="0038047C" w:rsidRPr="0038047C" w:rsidRDefault="0038047C" w:rsidP="0019613E">
            <w:r w:rsidRPr="0038047C">
              <w:t>January 1, 2013 - Compliant</w:t>
            </w:r>
          </w:p>
        </w:tc>
      </w:tr>
      <w:tr w:rsidR="0038047C" w14:paraId="746FD584" w14:textId="77777777" w:rsidTr="0038047C">
        <w:tc>
          <w:tcPr>
            <w:tcW w:w="5105" w:type="dxa"/>
          </w:tcPr>
          <w:p w14:paraId="6674DE21" w14:textId="77777777" w:rsidR="0038047C" w:rsidRDefault="0038047C" w:rsidP="0019613E">
            <w:pPr>
              <w:rPr>
                <w:b/>
              </w:rPr>
            </w:pPr>
            <w:r>
              <w:rPr>
                <w:b/>
              </w:rPr>
              <w:t>Departmental Champions:</w:t>
            </w:r>
          </w:p>
        </w:tc>
        <w:tc>
          <w:tcPr>
            <w:tcW w:w="5105" w:type="dxa"/>
          </w:tcPr>
          <w:p w14:paraId="2C7A8C94" w14:textId="77777777" w:rsidR="0038047C" w:rsidRPr="0038047C" w:rsidRDefault="0038047C" w:rsidP="0019613E">
            <w:r w:rsidRPr="0038047C">
              <w:t>Centre for Human Rights, Equity and Accessibility</w:t>
            </w:r>
          </w:p>
        </w:tc>
      </w:tr>
      <w:tr w:rsidR="0038047C" w14:paraId="76E99F3F" w14:textId="77777777" w:rsidTr="0038047C">
        <w:tc>
          <w:tcPr>
            <w:tcW w:w="5105" w:type="dxa"/>
          </w:tcPr>
          <w:p w14:paraId="015F1B4C" w14:textId="77777777" w:rsidR="0038047C" w:rsidRDefault="0038047C" w:rsidP="0019613E">
            <w:pPr>
              <w:rPr>
                <w:b/>
              </w:rPr>
            </w:pPr>
            <w:r>
              <w:rPr>
                <w:b/>
              </w:rPr>
              <w:t>Action Required:</w:t>
            </w:r>
          </w:p>
        </w:tc>
        <w:tc>
          <w:tcPr>
            <w:tcW w:w="5105" w:type="dxa"/>
          </w:tcPr>
          <w:p w14:paraId="38A6ED47" w14:textId="77777777" w:rsidR="0038047C" w:rsidRPr="0038047C" w:rsidRDefault="009039DD" w:rsidP="0019613E">
            <w:r>
              <w:t>Yes – see actions below</w:t>
            </w:r>
          </w:p>
        </w:tc>
      </w:tr>
    </w:tbl>
    <w:p w14:paraId="7B8F331D" w14:textId="77777777" w:rsidR="0038047C" w:rsidRDefault="00F4020E" w:rsidP="0019613E">
      <w:hyperlink w:anchor="chartiasrcss3" w:history="1">
        <w:r w:rsidR="00784F6D" w:rsidRPr="003C7335">
          <w:rPr>
            <w:rStyle w:val="Hyperlink"/>
          </w:rPr>
          <w:t>Section 3</w:t>
        </w:r>
      </w:hyperlink>
      <w:r w:rsidR="00784F6D">
        <w:t xml:space="preserve"> requires establishment of accessibility policies as outlined in the AODA. </w:t>
      </w:r>
      <w:r w:rsidR="009039DD" w:rsidRPr="009039DD">
        <w:t>Trent has an Accessibility policy which incorporates both accessibility requirements of the Customer Service Standard and I</w:t>
      </w:r>
      <w:r w:rsidR="009039DD">
        <w:t>ASR. This policy was updated in f</w:t>
      </w:r>
      <w:r w:rsidR="009039DD" w:rsidRPr="009039DD">
        <w:t xml:space="preserve">all 2016 to address changes to the Customer Service Standard. </w:t>
      </w:r>
    </w:p>
    <w:p w14:paraId="3FA8C9DC" w14:textId="77777777" w:rsidR="009039DD" w:rsidRDefault="009039DD" w:rsidP="0019613E">
      <w:pPr>
        <w:rPr>
          <w:b/>
        </w:rPr>
      </w:pPr>
      <w:r w:rsidRPr="009039DD">
        <w:rPr>
          <w:b/>
        </w:rPr>
        <w:t>Actions</w:t>
      </w:r>
      <w:r>
        <w:rPr>
          <w:b/>
        </w:rPr>
        <w:t>:</w:t>
      </w:r>
    </w:p>
    <w:p w14:paraId="4954CD2B" w14:textId="77777777" w:rsidR="009039DD" w:rsidRPr="009039DD" w:rsidRDefault="009039DD" w:rsidP="0019613E">
      <w:r>
        <w:t>Trent will continue to take the following actions to meet this requirement:</w:t>
      </w:r>
    </w:p>
    <w:p w14:paraId="554FD910" w14:textId="77777777" w:rsidR="009039DD" w:rsidRPr="009039DD" w:rsidRDefault="009039DD" w:rsidP="009039DD">
      <w:pPr>
        <w:pStyle w:val="ListParagraph"/>
        <w:numPr>
          <w:ilvl w:val="0"/>
          <w:numId w:val="30"/>
        </w:numPr>
      </w:pPr>
      <w:r w:rsidRPr="009039DD">
        <w:t xml:space="preserve">Review and update policies </w:t>
      </w:r>
      <w:r w:rsidR="00A70FE7">
        <w:t xml:space="preserve">in compliance with </w:t>
      </w:r>
      <w:r w:rsidRPr="009039DD">
        <w:t xml:space="preserve">Trent University guidelines. </w:t>
      </w:r>
    </w:p>
    <w:p w14:paraId="734730F9" w14:textId="77777777" w:rsidR="009039DD" w:rsidRPr="009039DD" w:rsidRDefault="009039DD" w:rsidP="009039DD">
      <w:pPr>
        <w:pStyle w:val="ListParagraph"/>
        <w:numPr>
          <w:ilvl w:val="0"/>
          <w:numId w:val="30"/>
        </w:numPr>
      </w:pPr>
      <w:r w:rsidRPr="009039DD">
        <w:t xml:space="preserve">Review and update policies as per changes to the AODA standards. </w:t>
      </w:r>
    </w:p>
    <w:p w14:paraId="0D2EAB75" w14:textId="77777777" w:rsidR="009039DD" w:rsidRPr="009039DD" w:rsidRDefault="009039DD" w:rsidP="009039DD">
      <w:pPr>
        <w:ind w:left="720"/>
        <w:rPr>
          <w:b/>
        </w:rPr>
      </w:pPr>
    </w:p>
    <w:p w14:paraId="527469AA" w14:textId="77777777" w:rsidR="0019613E" w:rsidRPr="00AB2198" w:rsidRDefault="0019613E" w:rsidP="00AB2198">
      <w:pPr>
        <w:pStyle w:val="Heading4"/>
        <w:rPr>
          <w:rStyle w:val="SubtleEmphasis"/>
          <w:rFonts w:ascii="Arial" w:hAnsi="Arial" w:cs="Arial"/>
          <w:b/>
          <w:i/>
          <w:color w:val="auto"/>
        </w:rPr>
      </w:pPr>
      <w:r w:rsidRPr="00AB2198">
        <w:rPr>
          <w:rStyle w:val="SubtleEmphasis"/>
          <w:rFonts w:ascii="Arial" w:hAnsi="Arial" w:cs="Arial"/>
          <w:b/>
          <w:color w:val="auto"/>
        </w:rPr>
        <w:t>Multi-Year Accessibility Plans</w:t>
      </w:r>
    </w:p>
    <w:tbl>
      <w:tblPr>
        <w:tblStyle w:val="TableGrid"/>
        <w:tblW w:w="0" w:type="auto"/>
        <w:tblLook w:val="04A0" w:firstRow="1" w:lastRow="0" w:firstColumn="1" w:lastColumn="0" w:noHBand="0" w:noVBand="1"/>
        <w:tblCaption w:val="Multi-Year Accessibility Plans"/>
        <w:tblDescription w:val="AODA Referenced Section is Section 4 IASR General Requirements. Deadline for compliance was January 1, 2013 and Trent is currently in compliance with this requirement. The departmental champion is the Centre for Human Rights, Equity and Accessibility. Action is required. See action items listed below table."/>
      </w:tblPr>
      <w:tblGrid>
        <w:gridCol w:w="4676"/>
        <w:gridCol w:w="4674"/>
      </w:tblGrid>
      <w:tr w:rsidR="0019613E" w14:paraId="20D5823F" w14:textId="77777777" w:rsidTr="008E658C">
        <w:tc>
          <w:tcPr>
            <w:tcW w:w="5105" w:type="dxa"/>
          </w:tcPr>
          <w:p w14:paraId="57068782" w14:textId="77777777" w:rsidR="0019613E" w:rsidRDefault="0019613E" w:rsidP="008E658C">
            <w:pPr>
              <w:rPr>
                <w:b/>
              </w:rPr>
            </w:pPr>
            <w:r>
              <w:rPr>
                <w:b/>
              </w:rPr>
              <w:t>AODA Reference:</w:t>
            </w:r>
          </w:p>
        </w:tc>
        <w:tc>
          <w:tcPr>
            <w:tcW w:w="5105" w:type="dxa"/>
          </w:tcPr>
          <w:p w14:paraId="30895D85" w14:textId="77777777" w:rsidR="0019613E" w:rsidRPr="00FB7921" w:rsidRDefault="0019613E" w:rsidP="008E658C">
            <w:bookmarkStart w:id="50" w:name="IASR4"/>
            <w:r w:rsidRPr="00FB7921">
              <w:t>Section 4 AODA IASR – General Requirements</w:t>
            </w:r>
            <w:bookmarkEnd w:id="50"/>
          </w:p>
        </w:tc>
      </w:tr>
      <w:tr w:rsidR="0019613E" w14:paraId="4765F908" w14:textId="77777777" w:rsidTr="008E658C">
        <w:tc>
          <w:tcPr>
            <w:tcW w:w="5105" w:type="dxa"/>
          </w:tcPr>
          <w:p w14:paraId="39F276F1" w14:textId="77777777" w:rsidR="0019613E" w:rsidRDefault="0019613E" w:rsidP="008E658C">
            <w:pPr>
              <w:rPr>
                <w:b/>
              </w:rPr>
            </w:pPr>
            <w:r>
              <w:rPr>
                <w:b/>
              </w:rPr>
              <w:t>Deadline and Status:</w:t>
            </w:r>
          </w:p>
        </w:tc>
        <w:tc>
          <w:tcPr>
            <w:tcW w:w="5105" w:type="dxa"/>
          </w:tcPr>
          <w:p w14:paraId="25C9BD0A" w14:textId="77777777" w:rsidR="0019613E" w:rsidRPr="00FB7921" w:rsidRDefault="0019613E" w:rsidP="008E658C">
            <w:r w:rsidRPr="00FB7921">
              <w:t>January 1, 2013 - Compliant</w:t>
            </w:r>
          </w:p>
        </w:tc>
      </w:tr>
      <w:tr w:rsidR="0019613E" w14:paraId="0345566B" w14:textId="77777777" w:rsidTr="008E658C">
        <w:tc>
          <w:tcPr>
            <w:tcW w:w="5105" w:type="dxa"/>
          </w:tcPr>
          <w:p w14:paraId="2E0F7DED" w14:textId="77777777" w:rsidR="0019613E" w:rsidRDefault="0019613E" w:rsidP="008E658C">
            <w:pPr>
              <w:rPr>
                <w:b/>
              </w:rPr>
            </w:pPr>
            <w:r>
              <w:rPr>
                <w:b/>
              </w:rPr>
              <w:t>Departmental Champions:</w:t>
            </w:r>
          </w:p>
        </w:tc>
        <w:tc>
          <w:tcPr>
            <w:tcW w:w="5105" w:type="dxa"/>
          </w:tcPr>
          <w:p w14:paraId="235EB4A8" w14:textId="77777777" w:rsidR="0019613E" w:rsidRPr="00FB7921" w:rsidRDefault="0019613E" w:rsidP="008E658C">
            <w:r w:rsidRPr="00FB7921">
              <w:t>Centre for Human Rights, Equity and Accessibility</w:t>
            </w:r>
          </w:p>
        </w:tc>
      </w:tr>
      <w:tr w:rsidR="00461D85" w14:paraId="285150FC" w14:textId="77777777" w:rsidTr="008E658C">
        <w:tc>
          <w:tcPr>
            <w:tcW w:w="5105" w:type="dxa"/>
          </w:tcPr>
          <w:p w14:paraId="1C708AC6" w14:textId="5A70270C" w:rsidR="00461D85" w:rsidRDefault="00461D85" w:rsidP="008E658C">
            <w:pPr>
              <w:rPr>
                <w:b/>
              </w:rPr>
            </w:pPr>
            <w:r>
              <w:rPr>
                <w:b/>
              </w:rPr>
              <w:t>Action Required:</w:t>
            </w:r>
          </w:p>
        </w:tc>
        <w:tc>
          <w:tcPr>
            <w:tcW w:w="5105" w:type="dxa"/>
          </w:tcPr>
          <w:p w14:paraId="24889F3B" w14:textId="2B81ABA8" w:rsidR="00461D85" w:rsidRPr="00FB7921" w:rsidRDefault="00461D85" w:rsidP="008E658C">
            <w:r>
              <w:t xml:space="preserve">Yes – see actions below. </w:t>
            </w:r>
          </w:p>
        </w:tc>
      </w:tr>
    </w:tbl>
    <w:p w14:paraId="161101FE" w14:textId="77777777" w:rsidR="0019613E" w:rsidRDefault="00F4020E" w:rsidP="0019613E">
      <w:hyperlink w:anchor="chartiasrcss4" w:history="1">
        <w:r w:rsidR="00784F6D" w:rsidRPr="003C7335">
          <w:rPr>
            <w:rStyle w:val="Hyperlink"/>
          </w:rPr>
          <w:t>Section 4</w:t>
        </w:r>
      </w:hyperlink>
      <w:r w:rsidR="0019613E">
        <w:t xml:space="preserve"> requires that</w:t>
      </w:r>
      <w:r w:rsidR="003A31A6">
        <w:t xml:space="preserve"> public sector</w:t>
      </w:r>
      <w:r w:rsidR="0019613E">
        <w:t xml:space="preserve"> </w:t>
      </w:r>
      <w:r w:rsidR="0019613E" w:rsidRPr="003A31A6">
        <w:t>organizations</w:t>
      </w:r>
      <w:r w:rsidR="003A31A6">
        <w:t xml:space="preserve"> with 50 or more employees,</w:t>
      </w:r>
      <w:r w:rsidR="0019613E" w:rsidRPr="003A31A6">
        <w:t xml:space="preserve"> such as Trent University</w:t>
      </w:r>
      <w:r w:rsidR="003A31A6">
        <w:t>,</w:t>
      </w:r>
      <w:r w:rsidR="0019613E">
        <w:t xml:space="preserve"> create a Multi-Year Accessibility Plan which identifies barriers and outlines a commitment to preventing or addressing these barriers to create an accessible environment for persons with disabilities. The plan is required to be updated and revised every five years, with status updates being developed and made public every year. </w:t>
      </w:r>
    </w:p>
    <w:p w14:paraId="25862CD1" w14:textId="77777777" w:rsidR="0019613E" w:rsidRDefault="0019613E" w:rsidP="0019613E">
      <w:r>
        <w:t xml:space="preserve">Trent will continue to take the following actions to meet this requirement: </w:t>
      </w:r>
    </w:p>
    <w:p w14:paraId="2772199B" w14:textId="77777777" w:rsidR="0019613E" w:rsidRDefault="0019613E" w:rsidP="0019613E">
      <w:pPr>
        <w:pStyle w:val="ListParagraph"/>
        <w:numPr>
          <w:ilvl w:val="0"/>
          <w:numId w:val="26"/>
        </w:numPr>
      </w:pPr>
      <w:r>
        <w:t xml:space="preserve">Update </w:t>
      </w:r>
      <w:r w:rsidR="00A70FE7">
        <w:t xml:space="preserve">the </w:t>
      </w:r>
      <w:r>
        <w:t>Multi-Year Accessibility Plan every 5 years – next update as of January 1, 2017.</w:t>
      </w:r>
    </w:p>
    <w:p w14:paraId="5F4D1451" w14:textId="77777777" w:rsidR="009039DD" w:rsidRPr="009039DD" w:rsidRDefault="0019613E" w:rsidP="009039DD">
      <w:pPr>
        <w:pStyle w:val="ListParagraph"/>
        <w:numPr>
          <w:ilvl w:val="0"/>
          <w:numId w:val="26"/>
        </w:numPr>
      </w:pPr>
      <w:r>
        <w:t xml:space="preserve">Continue to provide yearly status updates. </w:t>
      </w:r>
    </w:p>
    <w:p w14:paraId="2B114C6E" w14:textId="77777777" w:rsidR="00DF1779" w:rsidRDefault="00DF1779">
      <w:pPr>
        <w:rPr>
          <w:rStyle w:val="SubtleEmphasis"/>
          <w:b/>
          <w:i w:val="0"/>
        </w:rPr>
      </w:pPr>
      <w:r>
        <w:rPr>
          <w:rStyle w:val="SubtleEmphasis"/>
          <w:b/>
          <w:i w:val="0"/>
        </w:rPr>
        <w:br w:type="page"/>
      </w:r>
    </w:p>
    <w:p w14:paraId="51ADEC1B" w14:textId="77777777" w:rsidR="009039DD" w:rsidRPr="00AB2198" w:rsidRDefault="009039DD" w:rsidP="00AB2198">
      <w:pPr>
        <w:pStyle w:val="Heading4"/>
        <w:rPr>
          <w:rStyle w:val="Heading4Char"/>
          <w:rFonts w:ascii="Arial" w:hAnsi="Arial" w:cs="Arial"/>
          <w:b/>
          <w:iCs/>
          <w:color w:val="auto"/>
        </w:rPr>
      </w:pPr>
      <w:r w:rsidRPr="00F54094">
        <w:rPr>
          <w:rStyle w:val="SubtleEmphasis"/>
          <w:rFonts w:ascii="Arial" w:hAnsi="Arial" w:cs="Arial"/>
          <w:b/>
        </w:rPr>
        <w:t>Acces</w:t>
      </w:r>
      <w:r w:rsidRPr="00F54094">
        <w:rPr>
          <w:rStyle w:val="Heading4Char"/>
          <w:rFonts w:ascii="Arial" w:hAnsi="Arial" w:cs="Arial"/>
          <w:b/>
          <w:color w:val="auto"/>
        </w:rPr>
        <w:t>sib</w:t>
      </w:r>
      <w:r w:rsidRPr="00AB2198">
        <w:rPr>
          <w:rStyle w:val="Heading4Char"/>
          <w:rFonts w:ascii="Arial" w:hAnsi="Arial" w:cs="Arial"/>
          <w:b/>
          <w:color w:val="auto"/>
        </w:rPr>
        <w:t>le Procurement</w:t>
      </w:r>
    </w:p>
    <w:tbl>
      <w:tblPr>
        <w:tblStyle w:val="TableGrid"/>
        <w:tblW w:w="0" w:type="auto"/>
        <w:tblLook w:val="04A0" w:firstRow="1" w:lastRow="0" w:firstColumn="1" w:lastColumn="0" w:noHBand="0" w:noVBand="1"/>
        <w:tblCaption w:val="Accessible Procurement"/>
        <w:tblDescription w:val="AODA Referenced Section is Section 5 of the General Requirements. Deadline for meeting this requirement was January 1, 2013 and Trent is currently in compliance with this requiremnt. The departmental champion is the Purchasing department and no action is required at this time. "/>
      </w:tblPr>
      <w:tblGrid>
        <w:gridCol w:w="4676"/>
        <w:gridCol w:w="4674"/>
      </w:tblGrid>
      <w:tr w:rsidR="009039DD" w14:paraId="40CA4D32" w14:textId="77777777" w:rsidTr="009039DD">
        <w:tc>
          <w:tcPr>
            <w:tcW w:w="5105" w:type="dxa"/>
          </w:tcPr>
          <w:p w14:paraId="1847A0FA" w14:textId="77777777" w:rsidR="009039DD" w:rsidRDefault="009039DD" w:rsidP="009039DD">
            <w:pPr>
              <w:rPr>
                <w:b/>
              </w:rPr>
            </w:pPr>
            <w:r>
              <w:rPr>
                <w:b/>
              </w:rPr>
              <w:t>AODA Reference:</w:t>
            </w:r>
          </w:p>
        </w:tc>
        <w:tc>
          <w:tcPr>
            <w:tcW w:w="5105" w:type="dxa"/>
          </w:tcPr>
          <w:p w14:paraId="0EF75025" w14:textId="77777777" w:rsidR="009039DD" w:rsidRPr="009039DD" w:rsidRDefault="009039DD" w:rsidP="009039DD">
            <w:bookmarkStart w:id="51" w:name="IASR5"/>
            <w:r w:rsidRPr="009039DD">
              <w:t>IASR s.5 – General Requirements</w:t>
            </w:r>
            <w:bookmarkEnd w:id="51"/>
          </w:p>
        </w:tc>
      </w:tr>
      <w:tr w:rsidR="009039DD" w14:paraId="6B9E2986" w14:textId="77777777" w:rsidTr="009039DD">
        <w:tc>
          <w:tcPr>
            <w:tcW w:w="5105" w:type="dxa"/>
          </w:tcPr>
          <w:p w14:paraId="2C004205" w14:textId="77777777" w:rsidR="009039DD" w:rsidRDefault="009039DD" w:rsidP="009039DD">
            <w:pPr>
              <w:rPr>
                <w:b/>
              </w:rPr>
            </w:pPr>
            <w:r>
              <w:rPr>
                <w:b/>
              </w:rPr>
              <w:t>Deadline and Status:</w:t>
            </w:r>
          </w:p>
        </w:tc>
        <w:tc>
          <w:tcPr>
            <w:tcW w:w="5105" w:type="dxa"/>
          </w:tcPr>
          <w:p w14:paraId="20F17EE7" w14:textId="77777777" w:rsidR="009039DD" w:rsidRPr="009039DD" w:rsidRDefault="009039DD" w:rsidP="009039DD">
            <w:r>
              <w:t>January 1, 2013 - Compliant</w:t>
            </w:r>
          </w:p>
        </w:tc>
      </w:tr>
      <w:tr w:rsidR="009039DD" w14:paraId="14ED69A5" w14:textId="77777777" w:rsidTr="009039DD">
        <w:tc>
          <w:tcPr>
            <w:tcW w:w="5105" w:type="dxa"/>
          </w:tcPr>
          <w:p w14:paraId="2DABF011" w14:textId="77777777" w:rsidR="009039DD" w:rsidRDefault="009039DD" w:rsidP="009039DD">
            <w:pPr>
              <w:rPr>
                <w:b/>
              </w:rPr>
            </w:pPr>
            <w:r>
              <w:rPr>
                <w:b/>
              </w:rPr>
              <w:t>Departmental Champions:</w:t>
            </w:r>
          </w:p>
        </w:tc>
        <w:tc>
          <w:tcPr>
            <w:tcW w:w="5105" w:type="dxa"/>
          </w:tcPr>
          <w:p w14:paraId="382595B7" w14:textId="77777777" w:rsidR="009039DD" w:rsidRPr="009039DD" w:rsidRDefault="009039DD" w:rsidP="009039DD">
            <w:r w:rsidRPr="009039DD">
              <w:t xml:space="preserve">Purchasing Department </w:t>
            </w:r>
          </w:p>
        </w:tc>
      </w:tr>
      <w:tr w:rsidR="009039DD" w14:paraId="1E5C067D" w14:textId="77777777" w:rsidTr="009039DD">
        <w:tc>
          <w:tcPr>
            <w:tcW w:w="5105" w:type="dxa"/>
          </w:tcPr>
          <w:p w14:paraId="72FAA273" w14:textId="77777777" w:rsidR="009039DD" w:rsidRDefault="009039DD" w:rsidP="009039DD">
            <w:pPr>
              <w:rPr>
                <w:b/>
              </w:rPr>
            </w:pPr>
            <w:r>
              <w:rPr>
                <w:b/>
              </w:rPr>
              <w:t>Action Required:</w:t>
            </w:r>
          </w:p>
        </w:tc>
        <w:tc>
          <w:tcPr>
            <w:tcW w:w="5105" w:type="dxa"/>
          </w:tcPr>
          <w:p w14:paraId="143708DF" w14:textId="77777777" w:rsidR="009039DD" w:rsidRPr="009039DD" w:rsidRDefault="009039DD" w:rsidP="009039DD">
            <w:r w:rsidRPr="009039DD">
              <w:t>None</w:t>
            </w:r>
          </w:p>
        </w:tc>
      </w:tr>
    </w:tbl>
    <w:p w14:paraId="4B71BB15" w14:textId="77777777" w:rsidR="009020DA" w:rsidRDefault="00F4020E" w:rsidP="00903647">
      <w:pPr>
        <w:spacing w:after="100" w:afterAutospacing="1"/>
      </w:pPr>
      <w:hyperlink w:anchor="chartiasrcss5" w:history="1">
        <w:r w:rsidR="00784F6D" w:rsidRPr="003C7335">
          <w:rPr>
            <w:rStyle w:val="Hyperlink"/>
          </w:rPr>
          <w:t>Section 5</w:t>
        </w:r>
      </w:hyperlink>
      <w:r w:rsidR="00784F6D">
        <w:t xml:space="preserve"> requires that Trent incorporate accessibility into its procurement practices.</w:t>
      </w:r>
      <w:r w:rsidR="00784F6D" w:rsidRPr="009020DA">
        <w:t xml:space="preserve"> Trent</w:t>
      </w:r>
      <w:r w:rsidR="009039DD" w:rsidRPr="009020DA">
        <w:t xml:space="preserve"> University </w:t>
      </w:r>
      <w:r w:rsidR="009020DA" w:rsidRPr="009020DA">
        <w:t xml:space="preserve">has accessibility criteria built into </w:t>
      </w:r>
      <w:r w:rsidR="00A70FE7">
        <w:t>its Purc</w:t>
      </w:r>
      <w:r w:rsidR="008C7979">
        <w:t>h</w:t>
      </w:r>
      <w:r w:rsidR="00A70FE7">
        <w:t>ase Order (</w:t>
      </w:r>
      <w:r w:rsidR="009020DA" w:rsidRPr="009020DA">
        <w:t>PO</w:t>
      </w:r>
      <w:r w:rsidR="00A70FE7">
        <w:t>) and Request for Proposal (</w:t>
      </w:r>
      <w:r w:rsidR="009020DA" w:rsidRPr="009020DA">
        <w:t>RFP</w:t>
      </w:r>
      <w:r w:rsidR="00A70FE7">
        <w:t xml:space="preserve">) </w:t>
      </w:r>
      <w:r w:rsidR="009020DA" w:rsidRPr="009020DA">
        <w:t xml:space="preserve">processes as well </w:t>
      </w:r>
      <w:r w:rsidR="00A70FE7">
        <w:t>mandatory</w:t>
      </w:r>
      <w:r w:rsidR="0024175E">
        <w:t xml:space="preserve"> </w:t>
      </w:r>
      <w:r w:rsidR="009020DA" w:rsidRPr="009020DA">
        <w:t xml:space="preserve">accessibility training for contractors. </w:t>
      </w:r>
    </w:p>
    <w:p w14:paraId="6522EE04" w14:textId="77777777" w:rsidR="009020DA" w:rsidRPr="00AB2198" w:rsidRDefault="009020DA" w:rsidP="00AB2198">
      <w:pPr>
        <w:pStyle w:val="Heading4"/>
        <w:rPr>
          <w:rStyle w:val="SubtleEmphasis"/>
          <w:rFonts w:ascii="Arial" w:hAnsi="Arial" w:cs="Arial"/>
          <w:b/>
          <w:i/>
          <w:color w:val="auto"/>
        </w:rPr>
      </w:pPr>
      <w:r w:rsidRPr="00AB2198">
        <w:rPr>
          <w:rStyle w:val="SubtleEmphasis"/>
          <w:rFonts w:ascii="Arial" w:hAnsi="Arial" w:cs="Arial"/>
          <w:b/>
          <w:color w:val="auto"/>
        </w:rPr>
        <w:t>Self-service Kiosks</w:t>
      </w:r>
    </w:p>
    <w:tbl>
      <w:tblPr>
        <w:tblStyle w:val="TableGrid"/>
        <w:tblW w:w="0" w:type="auto"/>
        <w:tblLook w:val="04A0" w:firstRow="1" w:lastRow="0" w:firstColumn="1" w:lastColumn="0" w:noHBand="0" w:noVBand="1"/>
        <w:tblCaption w:val="Self-service Kiosks"/>
        <w:tblDescription w:val="AODA Referenced Section 6 IASR General Requirements. Deadline was compliance with this requirement was January 1, 2013 and Trent is current in progress of being in compliance. Departmental champions include Information Tecnology, Library, Parking, Foodservices, Accessibility Services. Action is required. Please see list of action items below table. &#10;"/>
      </w:tblPr>
      <w:tblGrid>
        <w:gridCol w:w="4676"/>
        <w:gridCol w:w="4674"/>
      </w:tblGrid>
      <w:tr w:rsidR="009020DA" w14:paraId="3347C2BA" w14:textId="77777777" w:rsidTr="009020DA">
        <w:tc>
          <w:tcPr>
            <w:tcW w:w="5105" w:type="dxa"/>
          </w:tcPr>
          <w:p w14:paraId="0812040C" w14:textId="77777777" w:rsidR="009020DA" w:rsidRDefault="009020DA" w:rsidP="009039DD">
            <w:pPr>
              <w:rPr>
                <w:b/>
              </w:rPr>
            </w:pPr>
            <w:r>
              <w:rPr>
                <w:b/>
              </w:rPr>
              <w:t xml:space="preserve">AODA Reference: </w:t>
            </w:r>
          </w:p>
        </w:tc>
        <w:tc>
          <w:tcPr>
            <w:tcW w:w="5105" w:type="dxa"/>
          </w:tcPr>
          <w:p w14:paraId="3631E5C0" w14:textId="77777777" w:rsidR="009020DA" w:rsidRPr="009020DA" w:rsidRDefault="009020DA" w:rsidP="009039DD">
            <w:bookmarkStart w:id="52" w:name="IASR6"/>
            <w:r w:rsidRPr="009020DA">
              <w:t>IASR s.6 – General Requirements</w:t>
            </w:r>
            <w:bookmarkEnd w:id="52"/>
          </w:p>
        </w:tc>
      </w:tr>
      <w:tr w:rsidR="009020DA" w14:paraId="0FD9510A" w14:textId="77777777" w:rsidTr="009020DA">
        <w:tc>
          <w:tcPr>
            <w:tcW w:w="5105" w:type="dxa"/>
          </w:tcPr>
          <w:p w14:paraId="63063A73" w14:textId="77777777" w:rsidR="009020DA" w:rsidRDefault="009020DA" w:rsidP="009039DD">
            <w:pPr>
              <w:rPr>
                <w:b/>
              </w:rPr>
            </w:pPr>
            <w:r>
              <w:rPr>
                <w:b/>
              </w:rPr>
              <w:t>Deadline and Status:</w:t>
            </w:r>
          </w:p>
        </w:tc>
        <w:tc>
          <w:tcPr>
            <w:tcW w:w="5105" w:type="dxa"/>
          </w:tcPr>
          <w:p w14:paraId="00FD48AA" w14:textId="77777777" w:rsidR="009020DA" w:rsidRPr="009020DA" w:rsidRDefault="009020DA" w:rsidP="00DE5B81">
            <w:r w:rsidRPr="009020DA">
              <w:t xml:space="preserve">January 1, 2013 </w:t>
            </w:r>
            <w:r w:rsidR="00DE5B81">
              <w:t>–</w:t>
            </w:r>
            <w:r w:rsidRPr="009020DA">
              <w:t xml:space="preserve"> </w:t>
            </w:r>
            <w:r w:rsidR="00DE5B81">
              <w:t>In progress</w:t>
            </w:r>
          </w:p>
        </w:tc>
      </w:tr>
      <w:tr w:rsidR="009020DA" w14:paraId="497E7691" w14:textId="77777777" w:rsidTr="009020DA">
        <w:tc>
          <w:tcPr>
            <w:tcW w:w="5105" w:type="dxa"/>
          </w:tcPr>
          <w:p w14:paraId="1F06B7B7" w14:textId="77777777" w:rsidR="009020DA" w:rsidRDefault="009020DA" w:rsidP="009039DD">
            <w:pPr>
              <w:rPr>
                <w:b/>
              </w:rPr>
            </w:pPr>
            <w:r>
              <w:rPr>
                <w:b/>
              </w:rPr>
              <w:t>Departmental Champions:</w:t>
            </w:r>
          </w:p>
        </w:tc>
        <w:tc>
          <w:tcPr>
            <w:tcW w:w="5105" w:type="dxa"/>
          </w:tcPr>
          <w:p w14:paraId="5FC2A69B" w14:textId="77777777" w:rsidR="009020DA" w:rsidRPr="009020DA" w:rsidRDefault="009020DA" w:rsidP="009039DD">
            <w:r w:rsidRPr="009020DA">
              <w:t xml:space="preserve">IT, Parking, Foodservices, Library, TCSA, SAS. </w:t>
            </w:r>
          </w:p>
        </w:tc>
      </w:tr>
      <w:tr w:rsidR="009020DA" w14:paraId="3B3D00A7" w14:textId="77777777" w:rsidTr="009020DA">
        <w:tc>
          <w:tcPr>
            <w:tcW w:w="5105" w:type="dxa"/>
          </w:tcPr>
          <w:p w14:paraId="13976A33" w14:textId="77777777" w:rsidR="009020DA" w:rsidRDefault="009020DA" w:rsidP="009039DD">
            <w:pPr>
              <w:rPr>
                <w:b/>
              </w:rPr>
            </w:pPr>
            <w:r>
              <w:rPr>
                <w:b/>
              </w:rPr>
              <w:t>Action Required:</w:t>
            </w:r>
          </w:p>
        </w:tc>
        <w:tc>
          <w:tcPr>
            <w:tcW w:w="5105" w:type="dxa"/>
          </w:tcPr>
          <w:p w14:paraId="32D1F1FB" w14:textId="77777777" w:rsidR="009020DA" w:rsidRPr="009020DA" w:rsidRDefault="009020DA" w:rsidP="009039DD">
            <w:r w:rsidRPr="009020DA">
              <w:t xml:space="preserve">Yes – see actions below. </w:t>
            </w:r>
          </w:p>
        </w:tc>
      </w:tr>
    </w:tbl>
    <w:p w14:paraId="2E4ED1AC" w14:textId="77777777" w:rsidR="009020DA" w:rsidRDefault="00F4020E" w:rsidP="009039DD">
      <w:hyperlink w:anchor="chartiasr6" w:history="1">
        <w:r w:rsidR="00784F6D" w:rsidRPr="003C7335">
          <w:rPr>
            <w:rStyle w:val="Hyperlink"/>
          </w:rPr>
          <w:t>Section 6</w:t>
        </w:r>
      </w:hyperlink>
      <w:r w:rsidR="00784F6D">
        <w:t xml:space="preserve"> requires Trent University</w:t>
      </w:r>
      <w:r w:rsidR="009020DA" w:rsidRPr="00DE5B81">
        <w:t xml:space="preserve"> to incorporate accessibility features into its kiosks when acquiring new machines. Kiosks are available across various departments and offer a variety of self-service features including banking, food services, copying and technical services. </w:t>
      </w:r>
    </w:p>
    <w:p w14:paraId="20CE8682" w14:textId="77777777" w:rsidR="00DE5B81" w:rsidRPr="00DE5B81" w:rsidRDefault="00DE5B81" w:rsidP="009039DD">
      <w:pPr>
        <w:rPr>
          <w:b/>
        </w:rPr>
      </w:pPr>
      <w:r w:rsidRPr="00DE5B81">
        <w:rPr>
          <w:b/>
        </w:rPr>
        <w:t xml:space="preserve">Actions: </w:t>
      </w:r>
    </w:p>
    <w:p w14:paraId="2E0AE698" w14:textId="77777777" w:rsidR="00DE5B81" w:rsidRDefault="00DE5B81" w:rsidP="009039DD">
      <w:r>
        <w:t>Trent will take the following actions to meet this requirement:</w:t>
      </w:r>
    </w:p>
    <w:p w14:paraId="733D25FD" w14:textId="77777777" w:rsidR="00DE5B81" w:rsidRDefault="00DE5B81" w:rsidP="00DE5B81">
      <w:pPr>
        <w:pStyle w:val="ListParagraph"/>
        <w:numPr>
          <w:ilvl w:val="0"/>
          <w:numId w:val="31"/>
        </w:numPr>
      </w:pPr>
      <w:r>
        <w:t xml:space="preserve">Develop understanding of kiosk use and end user needs on campus. </w:t>
      </w:r>
    </w:p>
    <w:p w14:paraId="0BE753C6" w14:textId="77777777" w:rsidR="00DE5B81" w:rsidRDefault="00DE5B81" w:rsidP="00DE5B81">
      <w:pPr>
        <w:pStyle w:val="ListParagraph"/>
        <w:numPr>
          <w:ilvl w:val="0"/>
          <w:numId w:val="31"/>
        </w:numPr>
      </w:pPr>
      <w:r>
        <w:t xml:space="preserve">Apply best practices in procurement of kiosks </w:t>
      </w:r>
    </w:p>
    <w:p w14:paraId="448585F5" w14:textId="77777777" w:rsidR="00DE5B81" w:rsidRPr="00DE5B81" w:rsidRDefault="00DE5B81" w:rsidP="00DE5B81">
      <w:pPr>
        <w:pStyle w:val="ListParagraph"/>
        <w:numPr>
          <w:ilvl w:val="0"/>
          <w:numId w:val="31"/>
        </w:numPr>
      </w:pPr>
      <w:r>
        <w:t xml:space="preserve">Evaluate ongoing requirements for kiosk use. </w:t>
      </w:r>
    </w:p>
    <w:p w14:paraId="5170D63A" w14:textId="77777777" w:rsidR="0019613E" w:rsidRDefault="0019613E" w:rsidP="0019613E">
      <w:pPr>
        <w:rPr>
          <w:b/>
        </w:rPr>
      </w:pPr>
    </w:p>
    <w:p w14:paraId="70D7612F" w14:textId="77777777" w:rsidR="0019613E" w:rsidRPr="00AB2198" w:rsidRDefault="0019613E" w:rsidP="00AB2198">
      <w:pPr>
        <w:pStyle w:val="Heading4"/>
        <w:rPr>
          <w:rStyle w:val="SubtleEmphasis"/>
          <w:rFonts w:ascii="Arial" w:hAnsi="Arial" w:cs="Arial"/>
          <w:b/>
          <w:i/>
          <w:color w:val="auto"/>
        </w:rPr>
      </w:pPr>
      <w:r w:rsidRPr="00AB2198">
        <w:rPr>
          <w:rStyle w:val="SubtleEmphasis"/>
          <w:rFonts w:ascii="Arial" w:hAnsi="Arial" w:cs="Arial"/>
          <w:b/>
          <w:color w:val="auto"/>
        </w:rPr>
        <w:t xml:space="preserve">AODA and Human Rights Code Training </w:t>
      </w:r>
    </w:p>
    <w:tbl>
      <w:tblPr>
        <w:tblStyle w:val="TableGrid"/>
        <w:tblW w:w="0" w:type="auto"/>
        <w:tblLook w:val="04A0" w:firstRow="1" w:lastRow="0" w:firstColumn="1" w:lastColumn="0" w:noHBand="0" w:noVBand="1"/>
        <w:tblCaption w:val="AODA and Human Rights Code Training "/>
        <w:tblDescription w:val="AODA Referenced Section is Section 7 General Requirements. Deadline for compliance with this requirement was January 1, 2014. Trent is currently in compliance with this requirement. Departmental Champion is the Centre for Human Rights, Equity and Accessibility. Action is required. Please see action items below table. "/>
      </w:tblPr>
      <w:tblGrid>
        <w:gridCol w:w="4676"/>
        <w:gridCol w:w="4674"/>
      </w:tblGrid>
      <w:tr w:rsidR="0019613E" w14:paraId="6BFDF196" w14:textId="77777777" w:rsidTr="0019613E">
        <w:tc>
          <w:tcPr>
            <w:tcW w:w="5105" w:type="dxa"/>
          </w:tcPr>
          <w:p w14:paraId="11B83A6B" w14:textId="77777777" w:rsidR="0019613E" w:rsidRDefault="0019613E" w:rsidP="0019613E">
            <w:pPr>
              <w:rPr>
                <w:b/>
              </w:rPr>
            </w:pPr>
            <w:r>
              <w:rPr>
                <w:b/>
              </w:rPr>
              <w:t>AODA Reference:</w:t>
            </w:r>
          </w:p>
        </w:tc>
        <w:tc>
          <w:tcPr>
            <w:tcW w:w="5105" w:type="dxa"/>
          </w:tcPr>
          <w:p w14:paraId="63A5D58A" w14:textId="77777777" w:rsidR="0019613E" w:rsidRPr="007E682E" w:rsidRDefault="007E682E" w:rsidP="0019613E">
            <w:bookmarkStart w:id="53" w:name="IASR7"/>
            <w:r w:rsidRPr="007E682E">
              <w:t>IASR Section 7 – General Requirements</w:t>
            </w:r>
            <w:bookmarkEnd w:id="53"/>
          </w:p>
        </w:tc>
      </w:tr>
      <w:tr w:rsidR="0019613E" w14:paraId="7CAB37A6" w14:textId="77777777" w:rsidTr="0019613E">
        <w:tc>
          <w:tcPr>
            <w:tcW w:w="5105" w:type="dxa"/>
          </w:tcPr>
          <w:p w14:paraId="0829FB43" w14:textId="77777777" w:rsidR="0019613E" w:rsidRDefault="007E682E" w:rsidP="0019613E">
            <w:pPr>
              <w:rPr>
                <w:b/>
              </w:rPr>
            </w:pPr>
            <w:r>
              <w:rPr>
                <w:b/>
              </w:rPr>
              <w:t>Deadline and Status:</w:t>
            </w:r>
          </w:p>
        </w:tc>
        <w:tc>
          <w:tcPr>
            <w:tcW w:w="5105" w:type="dxa"/>
          </w:tcPr>
          <w:p w14:paraId="4D98DEE1" w14:textId="77777777" w:rsidR="0019613E" w:rsidRPr="007E682E" w:rsidRDefault="007E682E" w:rsidP="0019613E">
            <w:r w:rsidRPr="007E682E">
              <w:t>January 1, 2014 - Compliant</w:t>
            </w:r>
          </w:p>
        </w:tc>
      </w:tr>
      <w:tr w:rsidR="0019613E" w14:paraId="4B3C2190" w14:textId="77777777" w:rsidTr="0019613E">
        <w:tc>
          <w:tcPr>
            <w:tcW w:w="5105" w:type="dxa"/>
          </w:tcPr>
          <w:p w14:paraId="4F82DA4F" w14:textId="77777777" w:rsidR="0019613E" w:rsidRDefault="007E682E" w:rsidP="0019613E">
            <w:pPr>
              <w:rPr>
                <w:b/>
              </w:rPr>
            </w:pPr>
            <w:r>
              <w:rPr>
                <w:b/>
              </w:rPr>
              <w:t>Departmental Champions:</w:t>
            </w:r>
          </w:p>
        </w:tc>
        <w:tc>
          <w:tcPr>
            <w:tcW w:w="5105" w:type="dxa"/>
          </w:tcPr>
          <w:p w14:paraId="69FDDE0A" w14:textId="77777777" w:rsidR="0019613E" w:rsidRPr="007E682E" w:rsidRDefault="007E682E" w:rsidP="0019613E">
            <w:r w:rsidRPr="007E682E">
              <w:t>Centre for Human Rights, Equity and Accessibility</w:t>
            </w:r>
          </w:p>
        </w:tc>
      </w:tr>
      <w:tr w:rsidR="00F15DA5" w14:paraId="1AC46396" w14:textId="77777777" w:rsidTr="0019613E">
        <w:tc>
          <w:tcPr>
            <w:tcW w:w="5105" w:type="dxa"/>
          </w:tcPr>
          <w:p w14:paraId="6981EF8D" w14:textId="7B2D2C02" w:rsidR="00F15DA5" w:rsidRDefault="00F15DA5" w:rsidP="0019613E">
            <w:pPr>
              <w:rPr>
                <w:b/>
              </w:rPr>
            </w:pPr>
            <w:r>
              <w:rPr>
                <w:b/>
              </w:rPr>
              <w:t>Action Required:</w:t>
            </w:r>
          </w:p>
        </w:tc>
        <w:tc>
          <w:tcPr>
            <w:tcW w:w="5105" w:type="dxa"/>
          </w:tcPr>
          <w:p w14:paraId="38CFE657" w14:textId="3B69DFCE" w:rsidR="00F15DA5" w:rsidRPr="007E682E" w:rsidRDefault="00F15DA5" w:rsidP="0019613E">
            <w:r>
              <w:t xml:space="preserve">Yes – see actions below. </w:t>
            </w:r>
          </w:p>
        </w:tc>
      </w:tr>
    </w:tbl>
    <w:p w14:paraId="5CE07BC9" w14:textId="77777777" w:rsidR="0019613E" w:rsidRDefault="00F4020E" w:rsidP="0019613E">
      <w:hyperlink w:anchor="chartiasr7" w:history="1">
        <w:r w:rsidR="00784F6D" w:rsidRPr="003C7335">
          <w:rPr>
            <w:rStyle w:val="Hyperlink"/>
          </w:rPr>
          <w:t>S</w:t>
        </w:r>
        <w:r w:rsidR="007E682E" w:rsidRPr="003C7335">
          <w:rPr>
            <w:rStyle w:val="Hyperlink"/>
          </w:rPr>
          <w:t>ection</w:t>
        </w:r>
        <w:r w:rsidR="00784F6D" w:rsidRPr="003C7335">
          <w:rPr>
            <w:rStyle w:val="Hyperlink"/>
          </w:rPr>
          <w:t xml:space="preserve"> 7</w:t>
        </w:r>
      </w:hyperlink>
      <w:r w:rsidR="007E682E">
        <w:t xml:space="preserve"> requires that organizations provide role-specific training on relevant portions of the IASR as well as the </w:t>
      </w:r>
      <w:r w:rsidR="00656681">
        <w:t>Ontario</w:t>
      </w:r>
      <w:r w:rsidR="008130EE">
        <w:t xml:space="preserve"> </w:t>
      </w:r>
      <w:r w:rsidR="007E682E">
        <w:t>Human Rights Code, as it pertains to disability and accommodation. Trent currently offers this training in two formats with both an online component which individuals can tailor to their needs or in</w:t>
      </w:r>
      <w:r w:rsidR="004C7281">
        <w:t>-</w:t>
      </w:r>
      <w:r w:rsidR="007E682E">
        <w:t>person, department</w:t>
      </w:r>
      <w:r w:rsidR="004C7281">
        <w:t>-</w:t>
      </w:r>
      <w:r w:rsidR="007E682E">
        <w:t xml:space="preserve">specific training offered by the Centre for Human Rights, Equity and Accessibility. </w:t>
      </w:r>
    </w:p>
    <w:p w14:paraId="2AF9AC22" w14:textId="77777777" w:rsidR="00574B70" w:rsidRDefault="00574B70" w:rsidP="0019613E">
      <w:r>
        <w:t>Trent University will continue to take the following actions to meet this requirement:</w:t>
      </w:r>
    </w:p>
    <w:p w14:paraId="474D4D39" w14:textId="77777777" w:rsidR="00574B70" w:rsidRDefault="00574B70" w:rsidP="00574B70">
      <w:pPr>
        <w:pStyle w:val="ListParagraph"/>
        <w:numPr>
          <w:ilvl w:val="0"/>
          <w:numId w:val="29"/>
        </w:numPr>
      </w:pPr>
      <w:r>
        <w:t xml:space="preserve">Offer AODA and </w:t>
      </w:r>
      <w:r w:rsidR="004C7281">
        <w:t xml:space="preserve">Ontario </w:t>
      </w:r>
      <w:r>
        <w:t>Human Rights Code Training to all employees and volunteers</w:t>
      </w:r>
      <w:r w:rsidR="00784F6D">
        <w:t>.</w:t>
      </w:r>
    </w:p>
    <w:p w14:paraId="7B98585F" w14:textId="77777777" w:rsidR="00574B70" w:rsidRDefault="00574B70" w:rsidP="00903647">
      <w:pPr>
        <w:pStyle w:val="ListParagraph"/>
        <w:numPr>
          <w:ilvl w:val="0"/>
          <w:numId w:val="29"/>
        </w:numPr>
        <w:spacing w:after="100" w:afterAutospacing="1"/>
      </w:pPr>
      <w:r>
        <w:t xml:space="preserve">Track training and record completion for employees and volunteers. </w:t>
      </w:r>
    </w:p>
    <w:p w14:paraId="1E833E75" w14:textId="77777777" w:rsidR="00DE5B81" w:rsidRPr="00AB2198" w:rsidRDefault="00DE5B81" w:rsidP="00AB2198">
      <w:pPr>
        <w:pStyle w:val="Heading4"/>
        <w:rPr>
          <w:rStyle w:val="SubtleEmphasis"/>
          <w:rFonts w:ascii="Arial" w:hAnsi="Arial" w:cs="Arial"/>
          <w:b/>
          <w:i/>
          <w:color w:val="auto"/>
        </w:rPr>
      </w:pPr>
      <w:r w:rsidRPr="00AB2198">
        <w:rPr>
          <w:rStyle w:val="SubtleEmphasis"/>
          <w:rFonts w:ascii="Arial" w:hAnsi="Arial" w:cs="Arial"/>
          <w:b/>
          <w:color w:val="auto"/>
        </w:rPr>
        <w:t>Accessible Feedback Processes</w:t>
      </w:r>
    </w:p>
    <w:tbl>
      <w:tblPr>
        <w:tblStyle w:val="TableGrid"/>
        <w:tblW w:w="0" w:type="auto"/>
        <w:tblLook w:val="04A0" w:firstRow="1" w:lastRow="0" w:firstColumn="1" w:lastColumn="0" w:noHBand="0" w:noVBand="1"/>
        <w:tblCaption w:val="Accessible Feedback Processes"/>
        <w:tblDescription w:val="AODA Referenced Section is Section 11 of the Information and Communication Standard. Deadline for Compliance was January 1, 2014. Trent is currently in compliance with this requirement. Departmental Champion is the Centre for Human Rights, Equity and Accessibility. No action is required at this time. "/>
      </w:tblPr>
      <w:tblGrid>
        <w:gridCol w:w="4661"/>
        <w:gridCol w:w="4689"/>
      </w:tblGrid>
      <w:tr w:rsidR="00DE5B81" w14:paraId="11C85F6E" w14:textId="77777777" w:rsidTr="00DE5B81">
        <w:tc>
          <w:tcPr>
            <w:tcW w:w="5105" w:type="dxa"/>
          </w:tcPr>
          <w:p w14:paraId="2BFFD16B" w14:textId="77777777" w:rsidR="00DE5B81" w:rsidRDefault="001B5780" w:rsidP="00574B70">
            <w:pPr>
              <w:rPr>
                <w:b/>
              </w:rPr>
            </w:pPr>
            <w:r>
              <w:rPr>
                <w:b/>
              </w:rPr>
              <w:t>AODA Reference:</w:t>
            </w:r>
          </w:p>
        </w:tc>
        <w:tc>
          <w:tcPr>
            <w:tcW w:w="5105" w:type="dxa"/>
          </w:tcPr>
          <w:p w14:paraId="1011B138" w14:textId="77777777" w:rsidR="00DE5B81" w:rsidRPr="001B5780" w:rsidRDefault="001B5780" w:rsidP="00574B70">
            <w:bookmarkStart w:id="54" w:name="IASR11"/>
            <w:r w:rsidRPr="001B5780">
              <w:t>IASR s.11 – Information and Communications</w:t>
            </w:r>
            <w:bookmarkEnd w:id="54"/>
          </w:p>
        </w:tc>
      </w:tr>
      <w:tr w:rsidR="00DE5B81" w14:paraId="417AB51A" w14:textId="77777777" w:rsidTr="00DE5B81">
        <w:tc>
          <w:tcPr>
            <w:tcW w:w="5105" w:type="dxa"/>
          </w:tcPr>
          <w:p w14:paraId="4F01A746" w14:textId="77777777" w:rsidR="00DE5B81" w:rsidRDefault="001B5780" w:rsidP="00574B70">
            <w:pPr>
              <w:rPr>
                <w:b/>
              </w:rPr>
            </w:pPr>
            <w:r>
              <w:rPr>
                <w:b/>
              </w:rPr>
              <w:t>Deadline and Status:</w:t>
            </w:r>
          </w:p>
        </w:tc>
        <w:tc>
          <w:tcPr>
            <w:tcW w:w="5105" w:type="dxa"/>
          </w:tcPr>
          <w:p w14:paraId="0D7AF7A2" w14:textId="77777777" w:rsidR="00DE5B81" w:rsidRPr="001B5780" w:rsidRDefault="001B5780" w:rsidP="00574B70">
            <w:r w:rsidRPr="001B5780">
              <w:t>January 1, 2014 - Compliant</w:t>
            </w:r>
          </w:p>
        </w:tc>
      </w:tr>
      <w:tr w:rsidR="00DE5B81" w14:paraId="559375A2" w14:textId="77777777" w:rsidTr="00DE5B81">
        <w:tc>
          <w:tcPr>
            <w:tcW w:w="5105" w:type="dxa"/>
          </w:tcPr>
          <w:p w14:paraId="1B828994" w14:textId="77777777" w:rsidR="00DE5B81" w:rsidRDefault="001B5780" w:rsidP="00574B70">
            <w:pPr>
              <w:rPr>
                <w:b/>
              </w:rPr>
            </w:pPr>
            <w:r>
              <w:rPr>
                <w:b/>
              </w:rPr>
              <w:t>Departmental Champions:</w:t>
            </w:r>
          </w:p>
        </w:tc>
        <w:tc>
          <w:tcPr>
            <w:tcW w:w="5105" w:type="dxa"/>
          </w:tcPr>
          <w:p w14:paraId="79E4B227" w14:textId="77777777" w:rsidR="00DE5B81" w:rsidRPr="001B5780" w:rsidRDefault="001B5780" w:rsidP="00574B70">
            <w:r w:rsidRPr="001B5780">
              <w:t xml:space="preserve">Centre for Human Rights, Equity and Accessibility. </w:t>
            </w:r>
          </w:p>
        </w:tc>
      </w:tr>
      <w:tr w:rsidR="00DE5B81" w14:paraId="65CF26E0" w14:textId="77777777" w:rsidTr="00DE5B81">
        <w:tc>
          <w:tcPr>
            <w:tcW w:w="5105" w:type="dxa"/>
          </w:tcPr>
          <w:p w14:paraId="15149E3F" w14:textId="77777777" w:rsidR="00DE5B81" w:rsidRDefault="001B5780" w:rsidP="00574B70">
            <w:pPr>
              <w:rPr>
                <w:b/>
              </w:rPr>
            </w:pPr>
            <w:r>
              <w:rPr>
                <w:b/>
              </w:rPr>
              <w:t xml:space="preserve">Action Required: </w:t>
            </w:r>
          </w:p>
        </w:tc>
        <w:tc>
          <w:tcPr>
            <w:tcW w:w="5105" w:type="dxa"/>
          </w:tcPr>
          <w:p w14:paraId="53079AEC" w14:textId="77777777" w:rsidR="00DE5B81" w:rsidRPr="001B5780" w:rsidRDefault="001B5780" w:rsidP="00574B70">
            <w:r w:rsidRPr="001B5780">
              <w:t>None</w:t>
            </w:r>
          </w:p>
        </w:tc>
      </w:tr>
    </w:tbl>
    <w:p w14:paraId="571342BB" w14:textId="77777777" w:rsidR="00DE5B81" w:rsidRPr="001B5780" w:rsidRDefault="00F4020E" w:rsidP="00903647">
      <w:pPr>
        <w:spacing w:after="100" w:afterAutospacing="1"/>
      </w:pPr>
      <w:hyperlink w:anchor="chartiasr11" w:history="1">
        <w:r w:rsidR="00784F6D" w:rsidRPr="003C7335">
          <w:rPr>
            <w:rStyle w:val="Hyperlink"/>
          </w:rPr>
          <w:t>Section 11</w:t>
        </w:r>
      </w:hyperlink>
      <w:r w:rsidR="00784F6D">
        <w:t xml:space="preserve"> requires that feedback mechanisms be accessible and that processes are in place for receiving and responding to feedback in a manner that takes into account the needs of persons with disabilities. </w:t>
      </w:r>
      <w:r w:rsidR="001B5780" w:rsidRPr="001B5780">
        <w:t xml:space="preserve">Trent has made its feedback mechanisms accessible. External feedback mechanisms are available through the online form on the Human Rights website and </w:t>
      </w:r>
      <w:r w:rsidR="00784F6D">
        <w:t xml:space="preserve">feedback </w:t>
      </w:r>
      <w:r w:rsidR="001B5780" w:rsidRPr="001B5780">
        <w:t>is</w:t>
      </w:r>
      <w:r w:rsidR="00784F6D">
        <w:t xml:space="preserve"> also</w:t>
      </w:r>
      <w:r w:rsidR="001B5780" w:rsidRPr="001B5780">
        <w:t xml:space="preserve"> accepted in a number o</w:t>
      </w:r>
      <w:r w:rsidR="00784F6D">
        <w:t>f formats including</w:t>
      </w:r>
      <w:r w:rsidR="001B5780" w:rsidRPr="001B5780">
        <w:t xml:space="preserve"> emails, in-person,</w:t>
      </w:r>
      <w:r w:rsidR="00F71063" w:rsidRPr="001B5780">
        <w:t xml:space="preserve"> telephone</w:t>
      </w:r>
      <w:r w:rsidR="001B5780" w:rsidRPr="001B5780">
        <w:t xml:space="preserve"> </w:t>
      </w:r>
      <w:r w:rsidR="0024175E">
        <w:t xml:space="preserve">in and </w:t>
      </w:r>
      <w:r w:rsidR="001B5780" w:rsidRPr="001B5780">
        <w:t xml:space="preserve">writing. </w:t>
      </w:r>
    </w:p>
    <w:p w14:paraId="18F3D43B" w14:textId="77777777" w:rsidR="0019613E" w:rsidRPr="00AB2198" w:rsidRDefault="001E6C46" w:rsidP="00CF5D94">
      <w:pPr>
        <w:pStyle w:val="Heading4"/>
        <w:rPr>
          <w:rStyle w:val="SubtleEmphasis"/>
          <w:b/>
          <w:i/>
          <w:color w:val="auto"/>
        </w:rPr>
      </w:pPr>
      <w:r w:rsidRPr="00AB2198">
        <w:rPr>
          <w:rFonts w:ascii="Arial" w:hAnsi="Arial" w:cs="Arial"/>
          <w:b/>
          <w:i w:val="0"/>
          <w:color w:val="auto"/>
        </w:rPr>
        <w:t>Accessible Formats and</w:t>
      </w:r>
      <w:r w:rsidRPr="00AB2198">
        <w:rPr>
          <w:rStyle w:val="SubtleEmphasis"/>
          <w:b/>
          <w:i/>
          <w:color w:val="auto"/>
        </w:rPr>
        <w:t xml:space="preserve"> </w:t>
      </w:r>
      <w:r w:rsidRPr="00AB2198">
        <w:rPr>
          <w:rFonts w:ascii="Arial" w:hAnsi="Arial" w:cs="Arial"/>
          <w:b/>
          <w:i w:val="0"/>
          <w:color w:val="auto"/>
        </w:rPr>
        <w:t>Communication Supports</w:t>
      </w:r>
    </w:p>
    <w:tbl>
      <w:tblPr>
        <w:tblStyle w:val="TableGrid"/>
        <w:tblW w:w="0" w:type="auto"/>
        <w:tblLook w:val="04A0" w:firstRow="1" w:lastRow="0" w:firstColumn="1" w:lastColumn="0" w:noHBand="0" w:noVBand="1"/>
        <w:tblCaption w:val="Accessible Formats and Communication Supports "/>
        <w:tblDescription w:val="AODA Referenced Section is Section 12 Information and Communication Standard. Deadline for compliance was January 1, 2014. Trent is currently in progress with meeting this requiremnent. Departmental Champion is the Centre for Human Rights, Equity and Accessibility. Action is required. See action items list below table. "/>
      </w:tblPr>
      <w:tblGrid>
        <w:gridCol w:w="4661"/>
        <w:gridCol w:w="4689"/>
      </w:tblGrid>
      <w:tr w:rsidR="001B5780" w14:paraId="2735FD77" w14:textId="77777777" w:rsidTr="001B5780">
        <w:tc>
          <w:tcPr>
            <w:tcW w:w="5105" w:type="dxa"/>
          </w:tcPr>
          <w:p w14:paraId="5D219C2C" w14:textId="77777777" w:rsidR="001B5780" w:rsidRDefault="001B5780" w:rsidP="0019613E">
            <w:pPr>
              <w:rPr>
                <w:b/>
              </w:rPr>
            </w:pPr>
            <w:r>
              <w:rPr>
                <w:b/>
              </w:rPr>
              <w:t xml:space="preserve">AODA Reference: </w:t>
            </w:r>
          </w:p>
        </w:tc>
        <w:tc>
          <w:tcPr>
            <w:tcW w:w="5105" w:type="dxa"/>
          </w:tcPr>
          <w:p w14:paraId="6D711B6C" w14:textId="77777777" w:rsidR="001B5780" w:rsidRPr="001B5780" w:rsidRDefault="001B5780" w:rsidP="0019613E">
            <w:bookmarkStart w:id="55" w:name="IASR12"/>
            <w:r w:rsidRPr="001B5780">
              <w:t>IASR s.12 – Information and Communications</w:t>
            </w:r>
            <w:bookmarkEnd w:id="55"/>
          </w:p>
        </w:tc>
      </w:tr>
      <w:tr w:rsidR="001B5780" w14:paraId="70FF74EE" w14:textId="77777777" w:rsidTr="001B5780">
        <w:tc>
          <w:tcPr>
            <w:tcW w:w="5105" w:type="dxa"/>
          </w:tcPr>
          <w:p w14:paraId="5D498230" w14:textId="77777777" w:rsidR="001B5780" w:rsidRDefault="001B5780" w:rsidP="0019613E">
            <w:pPr>
              <w:rPr>
                <w:b/>
              </w:rPr>
            </w:pPr>
            <w:r>
              <w:rPr>
                <w:b/>
              </w:rPr>
              <w:t>Deadline and Status</w:t>
            </w:r>
          </w:p>
        </w:tc>
        <w:tc>
          <w:tcPr>
            <w:tcW w:w="5105" w:type="dxa"/>
          </w:tcPr>
          <w:p w14:paraId="681461F9" w14:textId="77777777" w:rsidR="001B5780" w:rsidRPr="00195D6C" w:rsidRDefault="00195D6C" w:rsidP="0019613E">
            <w:r w:rsidRPr="00195D6C">
              <w:t>January 1, 2014 – In progress</w:t>
            </w:r>
          </w:p>
        </w:tc>
      </w:tr>
      <w:tr w:rsidR="001B5780" w14:paraId="1FC2A4FE" w14:textId="77777777" w:rsidTr="001B5780">
        <w:tc>
          <w:tcPr>
            <w:tcW w:w="5105" w:type="dxa"/>
          </w:tcPr>
          <w:p w14:paraId="1335C8BF" w14:textId="77777777" w:rsidR="001B5780" w:rsidRDefault="00195D6C" w:rsidP="0019613E">
            <w:pPr>
              <w:rPr>
                <w:b/>
              </w:rPr>
            </w:pPr>
            <w:r>
              <w:rPr>
                <w:b/>
              </w:rPr>
              <w:t>Departmental Champions:</w:t>
            </w:r>
          </w:p>
        </w:tc>
        <w:tc>
          <w:tcPr>
            <w:tcW w:w="5105" w:type="dxa"/>
          </w:tcPr>
          <w:p w14:paraId="11630BA6" w14:textId="77777777" w:rsidR="001B5780" w:rsidRPr="00784F6D" w:rsidRDefault="00195D6C" w:rsidP="0019613E">
            <w:r w:rsidRPr="00784F6D">
              <w:t xml:space="preserve">Centre for Human Rights, Equity and Accessibility </w:t>
            </w:r>
          </w:p>
        </w:tc>
      </w:tr>
      <w:tr w:rsidR="00195D6C" w14:paraId="73EE7AC7" w14:textId="77777777" w:rsidTr="001B5780">
        <w:tc>
          <w:tcPr>
            <w:tcW w:w="5105" w:type="dxa"/>
          </w:tcPr>
          <w:p w14:paraId="094054E8" w14:textId="77777777" w:rsidR="00195D6C" w:rsidRDefault="00195D6C" w:rsidP="0019613E">
            <w:pPr>
              <w:rPr>
                <w:b/>
              </w:rPr>
            </w:pPr>
            <w:r>
              <w:rPr>
                <w:b/>
              </w:rPr>
              <w:t>Action Required:</w:t>
            </w:r>
          </w:p>
        </w:tc>
        <w:tc>
          <w:tcPr>
            <w:tcW w:w="5105" w:type="dxa"/>
          </w:tcPr>
          <w:p w14:paraId="0405F757" w14:textId="77777777" w:rsidR="00195D6C" w:rsidRPr="00784F6D" w:rsidRDefault="00195D6C" w:rsidP="0019613E">
            <w:r w:rsidRPr="00784F6D">
              <w:t xml:space="preserve">Yes – see actions below. </w:t>
            </w:r>
          </w:p>
        </w:tc>
      </w:tr>
    </w:tbl>
    <w:p w14:paraId="1EE90AA6" w14:textId="77777777" w:rsidR="001B5780" w:rsidRDefault="00F4020E" w:rsidP="0019613E">
      <w:hyperlink w:anchor="chartiasr12" w:history="1">
        <w:r w:rsidR="00924DD1" w:rsidRPr="004B00F3">
          <w:rPr>
            <w:rStyle w:val="Hyperlink"/>
          </w:rPr>
          <w:t>Section 12</w:t>
        </w:r>
      </w:hyperlink>
      <w:r w:rsidR="00924DD1">
        <w:t xml:space="preserve"> requires provision of</w:t>
      </w:r>
      <w:r w:rsidR="00195D6C" w:rsidRPr="00195D6C">
        <w:t xml:space="preserve"> accessible formats and communication supports to persons with disabilities upon request. There is also a requirement to notify the public of the available these formats and supports. </w:t>
      </w:r>
      <w:r w:rsidR="00195D6C">
        <w:t xml:space="preserve">Trent continues to work to ensure material is available in accessible and conversion-ready formats and that the public is aware that these are available. </w:t>
      </w:r>
    </w:p>
    <w:p w14:paraId="6D4A3A93" w14:textId="77777777" w:rsidR="00195D6C" w:rsidRPr="00924DD1" w:rsidRDefault="00195D6C" w:rsidP="0019613E">
      <w:pPr>
        <w:rPr>
          <w:b/>
        </w:rPr>
      </w:pPr>
      <w:r w:rsidRPr="00924DD1">
        <w:rPr>
          <w:b/>
        </w:rPr>
        <w:t>Actions:</w:t>
      </w:r>
    </w:p>
    <w:p w14:paraId="53B6030D" w14:textId="77777777" w:rsidR="00195D6C" w:rsidRDefault="00195D6C" w:rsidP="0019613E">
      <w:r>
        <w:t xml:space="preserve">Trent University will take the following actions to meet this requirement: </w:t>
      </w:r>
    </w:p>
    <w:p w14:paraId="089FE810" w14:textId="77777777" w:rsidR="00195D6C" w:rsidRDefault="00195D6C" w:rsidP="00195D6C">
      <w:pPr>
        <w:pStyle w:val="ListParagraph"/>
        <w:numPr>
          <w:ilvl w:val="0"/>
          <w:numId w:val="32"/>
        </w:numPr>
      </w:pPr>
      <w:r>
        <w:t xml:space="preserve">Continue to working on ensuring that material and supports are available in accessible and conversion-ready formats. </w:t>
      </w:r>
    </w:p>
    <w:p w14:paraId="79965539" w14:textId="77777777" w:rsidR="00195D6C" w:rsidRDefault="00195D6C" w:rsidP="00195D6C">
      <w:pPr>
        <w:pStyle w:val="ListParagraph"/>
        <w:numPr>
          <w:ilvl w:val="0"/>
          <w:numId w:val="32"/>
        </w:numPr>
      </w:pPr>
      <w:r>
        <w:t>Identify virtual and physical locations for messaging to public</w:t>
      </w:r>
      <w:r w:rsidR="0024175E">
        <w:t xml:space="preserve">. </w:t>
      </w:r>
    </w:p>
    <w:p w14:paraId="17505A61" w14:textId="77777777" w:rsidR="00195D6C" w:rsidRDefault="00195D6C" w:rsidP="00195D6C">
      <w:pPr>
        <w:pStyle w:val="ListParagraph"/>
        <w:numPr>
          <w:ilvl w:val="0"/>
          <w:numId w:val="32"/>
        </w:numPr>
      </w:pPr>
      <w:r>
        <w:t xml:space="preserve">Incorporate accessibility into printed material such as Academic Calendar. </w:t>
      </w:r>
    </w:p>
    <w:p w14:paraId="00A7F9A8" w14:textId="77777777" w:rsidR="00BA5DF1" w:rsidRPr="00AB2198" w:rsidRDefault="00BA5DF1" w:rsidP="00AB2198">
      <w:pPr>
        <w:pStyle w:val="Heading4"/>
        <w:rPr>
          <w:rStyle w:val="SubtleEmphasis"/>
          <w:rFonts w:ascii="Arial" w:hAnsi="Arial" w:cs="Arial"/>
          <w:b/>
          <w:i/>
          <w:color w:val="auto"/>
        </w:rPr>
      </w:pPr>
      <w:r w:rsidRPr="00AB2198">
        <w:rPr>
          <w:rStyle w:val="SubtleEmphasis"/>
          <w:rFonts w:ascii="Arial" w:hAnsi="Arial" w:cs="Arial"/>
          <w:b/>
          <w:color w:val="auto"/>
        </w:rPr>
        <w:t>Emergency Procedure and Public Safety Information</w:t>
      </w:r>
    </w:p>
    <w:tbl>
      <w:tblPr>
        <w:tblStyle w:val="TableGrid"/>
        <w:tblW w:w="0" w:type="auto"/>
        <w:tblLook w:val="04A0" w:firstRow="1" w:lastRow="0" w:firstColumn="1" w:lastColumn="0" w:noHBand="0" w:noVBand="1"/>
        <w:tblCaption w:val="Emergency Procedures and Public Safety Information"/>
        <w:tblDescription w:val="AODA Referenced Section is Section 13 of the Information and Communication Standard. Deadline for compliance was January 1, 2012. Trent is in compliance with this requirement. Departmntal Champions are Risk Management and Centre for Human Rights, Equity and Accessibility. Action is required. Please see action item list below table. "/>
      </w:tblPr>
      <w:tblGrid>
        <w:gridCol w:w="4661"/>
        <w:gridCol w:w="4689"/>
      </w:tblGrid>
      <w:tr w:rsidR="00BA5DF1" w14:paraId="424EA63E" w14:textId="77777777" w:rsidTr="00BA5DF1">
        <w:tc>
          <w:tcPr>
            <w:tcW w:w="5105" w:type="dxa"/>
          </w:tcPr>
          <w:p w14:paraId="47216145" w14:textId="77777777" w:rsidR="00BA5DF1" w:rsidRDefault="00BA5DF1" w:rsidP="00BA5DF1">
            <w:pPr>
              <w:rPr>
                <w:b/>
              </w:rPr>
            </w:pPr>
            <w:r>
              <w:rPr>
                <w:b/>
              </w:rPr>
              <w:t>AODA Reference</w:t>
            </w:r>
          </w:p>
        </w:tc>
        <w:tc>
          <w:tcPr>
            <w:tcW w:w="5105" w:type="dxa"/>
          </w:tcPr>
          <w:p w14:paraId="669D7998" w14:textId="77777777" w:rsidR="00BA5DF1" w:rsidRPr="00BA5DF1" w:rsidRDefault="00BA5DF1" w:rsidP="00BA5DF1">
            <w:bookmarkStart w:id="56" w:name="IASR13"/>
            <w:r w:rsidRPr="00BA5DF1">
              <w:t>IASR s.13 – Information and Communications</w:t>
            </w:r>
            <w:bookmarkEnd w:id="56"/>
          </w:p>
        </w:tc>
      </w:tr>
      <w:tr w:rsidR="00BA5DF1" w14:paraId="31B28DB1" w14:textId="77777777" w:rsidTr="00BA5DF1">
        <w:tc>
          <w:tcPr>
            <w:tcW w:w="5105" w:type="dxa"/>
          </w:tcPr>
          <w:p w14:paraId="5E4C732F" w14:textId="77777777" w:rsidR="00BA5DF1" w:rsidRPr="00BA5DF1" w:rsidRDefault="00BA5DF1" w:rsidP="00BA5DF1">
            <w:pPr>
              <w:rPr>
                <w:b/>
              </w:rPr>
            </w:pPr>
            <w:r w:rsidRPr="00BA5DF1">
              <w:rPr>
                <w:b/>
              </w:rPr>
              <w:t>Deadline and Status</w:t>
            </w:r>
          </w:p>
        </w:tc>
        <w:tc>
          <w:tcPr>
            <w:tcW w:w="5105" w:type="dxa"/>
          </w:tcPr>
          <w:p w14:paraId="35EBCA09" w14:textId="77777777" w:rsidR="00BA5DF1" w:rsidRPr="00BA5DF1" w:rsidRDefault="00BA5DF1" w:rsidP="00BA5DF1">
            <w:r w:rsidRPr="00BA5DF1">
              <w:t>January 1, 2012 - Compliant</w:t>
            </w:r>
          </w:p>
        </w:tc>
      </w:tr>
      <w:tr w:rsidR="00BA5DF1" w14:paraId="4E6B0507" w14:textId="77777777" w:rsidTr="00BA5DF1">
        <w:tc>
          <w:tcPr>
            <w:tcW w:w="5105" w:type="dxa"/>
          </w:tcPr>
          <w:p w14:paraId="29F291A6" w14:textId="77777777" w:rsidR="00BA5DF1" w:rsidRPr="00BA5DF1" w:rsidRDefault="00BA5DF1" w:rsidP="00BA5DF1">
            <w:pPr>
              <w:rPr>
                <w:b/>
              </w:rPr>
            </w:pPr>
            <w:r w:rsidRPr="00BA5DF1">
              <w:rPr>
                <w:b/>
              </w:rPr>
              <w:t>Departmental Champions</w:t>
            </w:r>
          </w:p>
        </w:tc>
        <w:tc>
          <w:tcPr>
            <w:tcW w:w="5105" w:type="dxa"/>
          </w:tcPr>
          <w:p w14:paraId="59CA58AE" w14:textId="77777777" w:rsidR="00BA5DF1" w:rsidRPr="00BA5DF1" w:rsidRDefault="00BA5DF1" w:rsidP="00BA5DF1">
            <w:r w:rsidRPr="00BA5DF1">
              <w:t>Centre for Human Rights, Equity and Accessibility</w:t>
            </w:r>
          </w:p>
          <w:p w14:paraId="42B90113" w14:textId="77777777" w:rsidR="00BA5DF1" w:rsidRDefault="00BA5DF1" w:rsidP="00BA5DF1">
            <w:pPr>
              <w:rPr>
                <w:b/>
              </w:rPr>
            </w:pPr>
            <w:r w:rsidRPr="00BA5DF1">
              <w:t>Risk Management</w:t>
            </w:r>
          </w:p>
        </w:tc>
      </w:tr>
      <w:tr w:rsidR="00BA5DF1" w14:paraId="0C8A2D78" w14:textId="77777777" w:rsidTr="00BA5DF1">
        <w:trPr>
          <w:trHeight w:val="448"/>
        </w:trPr>
        <w:tc>
          <w:tcPr>
            <w:tcW w:w="5105" w:type="dxa"/>
          </w:tcPr>
          <w:p w14:paraId="7AACB030" w14:textId="77777777" w:rsidR="00BA5DF1" w:rsidRPr="00BA5DF1" w:rsidRDefault="00BA5DF1" w:rsidP="00BA5DF1">
            <w:pPr>
              <w:rPr>
                <w:b/>
              </w:rPr>
            </w:pPr>
            <w:r w:rsidRPr="00BA5DF1">
              <w:rPr>
                <w:b/>
              </w:rPr>
              <w:t xml:space="preserve">Action Required: </w:t>
            </w:r>
          </w:p>
        </w:tc>
        <w:tc>
          <w:tcPr>
            <w:tcW w:w="5105" w:type="dxa"/>
          </w:tcPr>
          <w:p w14:paraId="4DF008B0" w14:textId="77777777" w:rsidR="00BA5DF1" w:rsidRPr="00BA5DF1" w:rsidRDefault="00BA5DF1" w:rsidP="00BA5DF1">
            <w:r w:rsidRPr="00BA5DF1">
              <w:t>Yes – see actions below</w:t>
            </w:r>
          </w:p>
        </w:tc>
      </w:tr>
    </w:tbl>
    <w:p w14:paraId="2BFF0CCB" w14:textId="77777777" w:rsidR="00BA5DF1" w:rsidRDefault="00F4020E" w:rsidP="00BA5DF1">
      <w:hyperlink w:anchor="chartiasr13" w:history="1">
        <w:r w:rsidR="00924DD1" w:rsidRPr="004B00F3">
          <w:rPr>
            <w:rStyle w:val="Hyperlink"/>
          </w:rPr>
          <w:t>Section 13</w:t>
        </w:r>
      </w:hyperlink>
      <w:r w:rsidR="00924DD1">
        <w:t xml:space="preserve"> requires that</w:t>
      </w:r>
      <w:r w:rsidR="00BA5DF1" w:rsidRPr="00E71417">
        <w:t xml:space="preserve"> emergency procedures and public safety informat</w:t>
      </w:r>
      <w:r w:rsidR="00924DD1">
        <w:t>ion be in</w:t>
      </w:r>
      <w:r w:rsidR="00BA5DF1" w:rsidRPr="00E71417">
        <w:t xml:space="preserve"> accessible formats upon request. This does not extend to informat</w:t>
      </w:r>
      <w:r w:rsidR="00924DD1">
        <w:t xml:space="preserve">ion that is not made </w:t>
      </w:r>
      <w:r w:rsidR="00BA5DF1" w:rsidRPr="00E71417">
        <w:t xml:space="preserve">public. </w:t>
      </w:r>
      <w:r w:rsidR="00E71417">
        <w:t xml:space="preserve">Trent has previously posted all publicly available safety information in accessible formats and responds to requests for this information in accessible formats. </w:t>
      </w:r>
    </w:p>
    <w:p w14:paraId="729A8410" w14:textId="77777777" w:rsidR="00E71417" w:rsidRPr="00924DD1" w:rsidRDefault="00E71417" w:rsidP="00BA5DF1">
      <w:pPr>
        <w:rPr>
          <w:b/>
        </w:rPr>
      </w:pPr>
      <w:r w:rsidRPr="00924DD1">
        <w:rPr>
          <w:b/>
        </w:rPr>
        <w:t xml:space="preserve">Actions: </w:t>
      </w:r>
    </w:p>
    <w:p w14:paraId="2CC93C1F" w14:textId="77777777" w:rsidR="00E71417" w:rsidRDefault="00E71417" w:rsidP="00BA5DF1">
      <w:r>
        <w:t>Trent will continue to take the following actions to meet this requirement:</w:t>
      </w:r>
    </w:p>
    <w:p w14:paraId="3F1430BA" w14:textId="77777777" w:rsidR="00E71417" w:rsidRDefault="00E71417" w:rsidP="00E71417">
      <w:pPr>
        <w:pStyle w:val="ListParagraph"/>
        <w:numPr>
          <w:ilvl w:val="0"/>
          <w:numId w:val="33"/>
        </w:numPr>
      </w:pPr>
      <w:r>
        <w:t xml:space="preserve">Continue to respond in a timely manner to all requests for emergency and safety information in accessible or conversion-ready formats. </w:t>
      </w:r>
    </w:p>
    <w:p w14:paraId="049E23A5" w14:textId="77777777" w:rsidR="00E71417" w:rsidRDefault="00E71417" w:rsidP="001F7C7F">
      <w:pPr>
        <w:pStyle w:val="ListParagraph"/>
        <w:numPr>
          <w:ilvl w:val="0"/>
          <w:numId w:val="33"/>
        </w:numPr>
        <w:spacing w:after="100" w:afterAutospacing="1"/>
      </w:pPr>
      <w:r>
        <w:t xml:space="preserve">Continue to post publicly available safety information in accessible formats. </w:t>
      </w:r>
    </w:p>
    <w:p w14:paraId="41CA1CC6" w14:textId="77777777" w:rsidR="008E658C" w:rsidRPr="00AB2198" w:rsidRDefault="008E658C" w:rsidP="00AB2198">
      <w:pPr>
        <w:pStyle w:val="Heading4"/>
        <w:rPr>
          <w:rStyle w:val="SubtleEmphasis"/>
          <w:rFonts w:ascii="Arial" w:hAnsi="Arial" w:cs="Arial"/>
          <w:b/>
          <w:i/>
          <w:color w:val="auto"/>
        </w:rPr>
      </w:pPr>
      <w:r w:rsidRPr="00AB2198">
        <w:rPr>
          <w:rStyle w:val="SubtleEmphasis"/>
          <w:rFonts w:ascii="Arial" w:hAnsi="Arial" w:cs="Arial"/>
          <w:b/>
          <w:color w:val="auto"/>
        </w:rPr>
        <w:t xml:space="preserve">Websites and Web Content </w:t>
      </w:r>
    </w:p>
    <w:tbl>
      <w:tblPr>
        <w:tblStyle w:val="TableGrid"/>
        <w:tblW w:w="0" w:type="auto"/>
        <w:tblLook w:val="04A0" w:firstRow="1" w:lastRow="0" w:firstColumn="1" w:lastColumn="0" w:noHBand="0" w:noVBand="1"/>
        <w:tblCaption w:val="Websites and Web Content "/>
        <w:tblDescription w:val="AODA Referenced section is 14 of the Information and Communications Standard. Deadline for compliance was January 1, 2014. Trent is currently in progress with meeting this requirement. Departmental champions are Marketing and Communications Web Team and Centre for Human Rights, Equity and Accesibility. Action is required. See action item list below table. "/>
      </w:tblPr>
      <w:tblGrid>
        <w:gridCol w:w="4661"/>
        <w:gridCol w:w="4689"/>
      </w:tblGrid>
      <w:tr w:rsidR="008E658C" w14:paraId="435C9503" w14:textId="77777777" w:rsidTr="008E658C">
        <w:tc>
          <w:tcPr>
            <w:tcW w:w="5105" w:type="dxa"/>
          </w:tcPr>
          <w:p w14:paraId="01BEBBBD" w14:textId="77777777" w:rsidR="008E658C" w:rsidRDefault="008E658C" w:rsidP="008E658C">
            <w:pPr>
              <w:rPr>
                <w:b/>
              </w:rPr>
            </w:pPr>
            <w:r>
              <w:rPr>
                <w:b/>
              </w:rPr>
              <w:t>AODA Reference:</w:t>
            </w:r>
          </w:p>
        </w:tc>
        <w:tc>
          <w:tcPr>
            <w:tcW w:w="5105" w:type="dxa"/>
          </w:tcPr>
          <w:p w14:paraId="0D34F30B" w14:textId="77777777" w:rsidR="008E658C" w:rsidRPr="008E658C" w:rsidRDefault="008E658C" w:rsidP="008E658C">
            <w:bookmarkStart w:id="57" w:name="IASR14"/>
            <w:r w:rsidRPr="008E658C">
              <w:t>IASR s.14 – Information and Communications</w:t>
            </w:r>
            <w:bookmarkEnd w:id="57"/>
          </w:p>
        </w:tc>
      </w:tr>
      <w:tr w:rsidR="008E658C" w14:paraId="2C211230" w14:textId="77777777" w:rsidTr="008E658C">
        <w:tc>
          <w:tcPr>
            <w:tcW w:w="5105" w:type="dxa"/>
          </w:tcPr>
          <w:p w14:paraId="51CD5E69" w14:textId="77777777" w:rsidR="008E658C" w:rsidRDefault="008E658C" w:rsidP="008E658C">
            <w:pPr>
              <w:rPr>
                <w:b/>
              </w:rPr>
            </w:pPr>
            <w:r>
              <w:rPr>
                <w:b/>
              </w:rPr>
              <w:t>Deadline and Status:</w:t>
            </w:r>
          </w:p>
        </w:tc>
        <w:tc>
          <w:tcPr>
            <w:tcW w:w="5105" w:type="dxa"/>
          </w:tcPr>
          <w:p w14:paraId="4EABB3E4" w14:textId="77777777" w:rsidR="008E658C" w:rsidRPr="008E658C" w:rsidRDefault="008E658C" w:rsidP="008E658C">
            <w:r w:rsidRPr="008E658C">
              <w:t>January 1, 2014 – In progress</w:t>
            </w:r>
          </w:p>
        </w:tc>
      </w:tr>
      <w:tr w:rsidR="008E658C" w14:paraId="44D04F95" w14:textId="77777777" w:rsidTr="008E658C">
        <w:tc>
          <w:tcPr>
            <w:tcW w:w="5105" w:type="dxa"/>
          </w:tcPr>
          <w:p w14:paraId="0BC3858C" w14:textId="77777777" w:rsidR="008E658C" w:rsidRDefault="008E658C" w:rsidP="008E658C">
            <w:pPr>
              <w:rPr>
                <w:b/>
              </w:rPr>
            </w:pPr>
            <w:r>
              <w:rPr>
                <w:b/>
              </w:rPr>
              <w:t>Departmental Champions:</w:t>
            </w:r>
          </w:p>
        </w:tc>
        <w:tc>
          <w:tcPr>
            <w:tcW w:w="5105" w:type="dxa"/>
          </w:tcPr>
          <w:p w14:paraId="66E6F19F" w14:textId="77777777" w:rsidR="008E658C" w:rsidRPr="008E658C" w:rsidRDefault="008E658C" w:rsidP="008E658C">
            <w:r w:rsidRPr="008E658C">
              <w:t>Marketing and Communications (Web Team)</w:t>
            </w:r>
            <w:r w:rsidR="00030C6F">
              <w:t xml:space="preserve"> and CHREA</w:t>
            </w:r>
          </w:p>
        </w:tc>
      </w:tr>
      <w:tr w:rsidR="008E658C" w14:paraId="7C6C6961" w14:textId="77777777" w:rsidTr="008E658C">
        <w:tc>
          <w:tcPr>
            <w:tcW w:w="5105" w:type="dxa"/>
          </w:tcPr>
          <w:p w14:paraId="0689D369" w14:textId="77777777" w:rsidR="008E658C" w:rsidRDefault="008E658C" w:rsidP="008E658C">
            <w:pPr>
              <w:rPr>
                <w:b/>
              </w:rPr>
            </w:pPr>
            <w:r>
              <w:rPr>
                <w:b/>
              </w:rPr>
              <w:t xml:space="preserve">Action Required: </w:t>
            </w:r>
          </w:p>
        </w:tc>
        <w:tc>
          <w:tcPr>
            <w:tcW w:w="5105" w:type="dxa"/>
          </w:tcPr>
          <w:p w14:paraId="7080132C" w14:textId="77777777" w:rsidR="008E658C" w:rsidRPr="008E658C" w:rsidRDefault="008E658C" w:rsidP="008E658C">
            <w:r w:rsidRPr="008E658C">
              <w:t>Yes – see actions below</w:t>
            </w:r>
          </w:p>
        </w:tc>
      </w:tr>
    </w:tbl>
    <w:p w14:paraId="6613ABBE" w14:textId="77777777" w:rsidR="008E658C" w:rsidRDefault="00F4020E" w:rsidP="008E658C">
      <w:hyperlink w:anchor="chartiasr14A" w:history="1">
        <w:r w:rsidR="00924DD1" w:rsidRPr="004B00F3">
          <w:rPr>
            <w:rStyle w:val="Hyperlink"/>
          </w:rPr>
          <w:t>Section 14</w:t>
        </w:r>
      </w:hyperlink>
      <w:r w:rsidR="00924DD1">
        <w:t xml:space="preserve"> require</w:t>
      </w:r>
      <w:r w:rsidR="00BE7EA2">
        <w:t>d</w:t>
      </w:r>
      <w:r w:rsidR="008E658C" w:rsidRPr="008E658C">
        <w:t xml:space="preserve"> that all web content </w:t>
      </w:r>
      <w:r w:rsidR="00924DD1">
        <w:t>posted after January 1, 2012 be</w:t>
      </w:r>
      <w:r w:rsidR="008E658C" w:rsidRPr="008E658C">
        <w:t xml:space="preserve"> compliant with WCAG 2.0 Level A standards. In order to meet this requirement Trent trained key staff on website accessibility practices and has been in the process of migrating to a new content management system (Drupal 7) in order to ensure compliance. Trent reported compliance at the 2014 deadline, but has experienced some challenges with its goal of ensuring content continues to be compliant. </w:t>
      </w:r>
      <w:r w:rsidR="00E81087">
        <w:t xml:space="preserve">See </w:t>
      </w:r>
      <w:bookmarkStart w:id="58" w:name="Upcoming"/>
      <w:r w:rsidR="00E81087">
        <w:fldChar w:fldCharType="begin"/>
      </w:r>
      <w:r w:rsidR="00E81087">
        <w:instrText xml:space="preserve"> HYPERLINK  \l "Upcoming2" </w:instrText>
      </w:r>
      <w:r w:rsidR="00E81087">
        <w:fldChar w:fldCharType="separate"/>
      </w:r>
      <w:r w:rsidR="00E81087" w:rsidRPr="00E81087">
        <w:rPr>
          <w:rStyle w:val="Hyperlink"/>
        </w:rPr>
        <w:t>upcoming requirements</w:t>
      </w:r>
      <w:r w:rsidR="00E81087">
        <w:fldChar w:fldCharType="end"/>
      </w:r>
      <w:r w:rsidR="00E81087">
        <w:t xml:space="preserve"> </w:t>
      </w:r>
      <w:bookmarkEnd w:id="58"/>
      <w:r w:rsidR="00E81087">
        <w:t xml:space="preserve">for more information on Section 14 requirements for 2021. </w:t>
      </w:r>
    </w:p>
    <w:p w14:paraId="1BB07B75" w14:textId="77777777" w:rsidR="008E658C" w:rsidRDefault="008E658C" w:rsidP="008E658C">
      <w:pPr>
        <w:rPr>
          <w:b/>
        </w:rPr>
      </w:pPr>
      <w:r w:rsidRPr="008E658C">
        <w:rPr>
          <w:b/>
        </w:rPr>
        <w:t>Actions:</w:t>
      </w:r>
    </w:p>
    <w:p w14:paraId="5C7CEC67" w14:textId="77777777" w:rsidR="001779F3" w:rsidRDefault="001779F3" w:rsidP="008E658C">
      <w:pPr>
        <w:rPr>
          <w:b/>
        </w:rPr>
      </w:pPr>
      <w:r w:rsidRPr="001779F3">
        <w:t>Trent University will take the following actions to meet this requirement</w:t>
      </w:r>
      <w:r>
        <w:rPr>
          <w:b/>
        </w:rPr>
        <w:t>:</w:t>
      </w:r>
    </w:p>
    <w:p w14:paraId="3F860E66" w14:textId="77777777" w:rsidR="001B43DC" w:rsidRDefault="001B43DC" w:rsidP="001779F3">
      <w:pPr>
        <w:pStyle w:val="ListParagraph"/>
        <w:numPr>
          <w:ilvl w:val="0"/>
          <w:numId w:val="36"/>
        </w:numPr>
      </w:pPr>
      <w:r>
        <w:t>CHREA to communicate IASR requirements.</w:t>
      </w:r>
    </w:p>
    <w:p w14:paraId="14E336E0" w14:textId="77777777" w:rsidR="001779F3" w:rsidRDefault="001779F3" w:rsidP="001779F3">
      <w:pPr>
        <w:pStyle w:val="ListParagraph"/>
        <w:numPr>
          <w:ilvl w:val="0"/>
          <w:numId w:val="36"/>
        </w:numPr>
      </w:pPr>
      <w:r>
        <w:t>Continue to analyze site and track</w:t>
      </w:r>
      <w:r w:rsidR="00A10D87">
        <w:t xml:space="preserve"> and resolve</w:t>
      </w:r>
      <w:r>
        <w:t xml:space="preserve"> issues with accessibility. </w:t>
      </w:r>
    </w:p>
    <w:p w14:paraId="6BBCDE5A" w14:textId="77777777" w:rsidR="001779F3" w:rsidRDefault="00A10D87" w:rsidP="001F7C7F">
      <w:pPr>
        <w:pStyle w:val="ListParagraph"/>
        <w:numPr>
          <w:ilvl w:val="0"/>
          <w:numId w:val="36"/>
        </w:numPr>
        <w:spacing w:after="100" w:afterAutospacing="1"/>
      </w:pPr>
      <w:r>
        <w:t xml:space="preserve">Continue to </w:t>
      </w:r>
      <w:r w:rsidR="001B43DC">
        <w:t xml:space="preserve">provide information and support </w:t>
      </w:r>
      <w:r>
        <w:t>train</w:t>
      </w:r>
      <w:r w:rsidR="001B43DC">
        <w:t xml:space="preserve">ing for </w:t>
      </w:r>
      <w:r w:rsidR="001779F3">
        <w:t xml:space="preserve">content contributors to ensure posted content is accessible. </w:t>
      </w:r>
    </w:p>
    <w:p w14:paraId="47AB1EA0" w14:textId="77777777" w:rsidR="001779F3" w:rsidRPr="00AB2198" w:rsidRDefault="001779F3" w:rsidP="00CF5D94">
      <w:pPr>
        <w:pStyle w:val="Heading4"/>
        <w:rPr>
          <w:rFonts w:ascii="Arial" w:hAnsi="Arial" w:cs="Arial"/>
          <w:b/>
          <w:i w:val="0"/>
          <w:color w:val="auto"/>
        </w:rPr>
      </w:pPr>
      <w:r w:rsidRPr="00AB2198">
        <w:rPr>
          <w:rFonts w:ascii="Arial" w:hAnsi="Arial" w:cs="Arial"/>
          <w:b/>
          <w:i w:val="0"/>
          <w:color w:val="auto"/>
        </w:rPr>
        <w:t>Educational and Training Resources and Materials</w:t>
      </w:r>
    </w:p>
    <w:tbl>
      <w:tblPr>
        <w:tblStyle w:val="TableGrid"/>
        <w:tblW w:w="0" w:type="auto"/>
        <w:tblLook w:val="04A0" w:firstRow="1" w:lastRow="0" w:firstColumn="1" w:lastColumn="0" w:noHBand="0" w:noVBand="1"/>
        <w:tblCaption w:val="Educational Training Resources and Materials "/>
        <w:tblDescription w:val="AODA Referenced Section is 15 of the Information and Communications Standard. Deadline for ompliance was January 1, 2015 and Trent is currently in compliance with this requirement. Departmental Champions include Student Accessibility Service and Centre for Human Rights, Equity and Accessibility. No action is required at this time. "/>
      </w:tblPr>
      <w:tblGrid>
        <w:gridCol w:w="4661"/>
        <w:gridCol w:w="4689"/>
      </w:tblGrid>
      <w:tr w:rsidR="001779F3" w14:paraId="1BE99252" w14:textId="77777777" w:rsidTr="001779F3">
        <w:tc>
          <w:tcPr>
            <w:tcW w:w="5105" w:type="dxa"/>
          </w:tcPr>
          <w:p w14:paraId="0AC2CAC0" w14:textId="77777777" w:rsidR="001779F3" w:rsidRDefault="001779F3" w:rsidP="001779F3">
            <w:pPr>
              <w:rPr>
                <w:b/>
              </w:rPr>
            </w:pPr>
            <w:r>
              <w:rPr>
                <w:b/>
              </w:rPr>
              <w:t xml:space="preserve">AODA Reference: </w:t>
            </w:r>
          </w:p>
        </w:tc>
        <w:tc>
          <w:tcPr>
            <w:tcW w:w="5105" w:type="dxa"/>
          </w:tcPr>
          <w:p w14:paraId="6DE8ED6E" w14:textId="77777777" w:rsidR="001779F3" w:rsidRPr="001779F3" w:rsidRDefault="001779F3" w:rsidP="001779F3">
            <w:bookmarkStart w:id="59" w:name="IASR15"/>
            <w:r w:rsidRPr="001779F3">
              <w:t>IASR s.15 – Information and Communications</w:t>
            </w:r>
            <w:bookmarkEnd w:id="59"/>
          </w:p>
        </w:tc>
      </w:tr>
      <w:tr w:rsidR="001779F3" w14:paraId="38D6779B" w14:textId="77777777" w:rsidTr="001779F3">
        <w:tc>
          <w:tcPr>
            <w:tcW w:w="5105" w:type="dxa"/>
          </w:tcPr>
          <w:p w14:paraId="6A9F02EB" w14:textId="77777777" w:rsidR="001779F3" w:rsidRDefault="001779F3" w:rsidP="001779F3">
            <w:pPr>
              <w:rPr>
                <w:b/>
              </w:rPr>
            </w:pPr>
            <w:r>
              <w:rPr>
                <w:b/>
              </w:rPr>
              <w:t>Deadline and Status:</w:t>
            </w:r>
          </w:p>
        </w:tc>
        <w:tc>
          <w:tcPr>
            <w:tcW w:w="5105" w:type="dxa"/>
          </w:tcPr>
          <w:p w14:paraId="713FD4E0" w14:textId="77777777" w:rsidR="001779F3" w:rsidRPr="004401C2" w:rsidRDefault="001779F3" w:rsidP="001779F3">
            <w:r w:rsidRPr="004401C2">
              <w:t>January 1, 2015 - Compliant</w:t>
            </w:r>
          </w:p>
        </w:tc>
      </w:tr>
      <w:tr w:rsidR="001779F3" w14:paraId="173EE047" w14:textId="77777777" w:rsidTr="001779F3">
        <w:tc>
          <w:tcPr>
            <w:tcW w:w="5105" w:type="dxa"/>
          </w:tcPr>
          <w:p w14:paraId="16B7543F" w14:textId="77777777" w:rsidR="001779F3" w:rsidRDefault="004401C2" w:rsidP="001779F3">
            <w:pPr>
              <w:rPr>
                <w:b/>
              </w:rPr>
            </w:pPr>
            <w:r>
              <w:rPr>
                <w:b/>
              </w:rPr>
              <w:t>Departmental Champions:</w:t>
            </w:r>
          </w:p>
        </w:tc>
        <w:tc>
          <w:tcPr>
            <w:tcW w:w="5105" w:type="dxa"/>
          </w:tcPr>
          <w:p w14:paraId="1227ADAF" w14:textId="77777777" w:rsidR="001779F3" w:rsidRPr="004401C2" w:rsidRDefault="004401C2" w:rsidP="004401C2">
            <w:r w:rsidRPr="004401C2">
              <w:t>SAS and Centre for Human Rights, Equity and Accessibility</w:t>
            </w:r>
          </w:p>
        </w:tc>
      </w:tr>
      <w:tr w:rsidR="001779F3" w14:paraId="302DE8D3" w14:textId="77777777" w:rsidTr="001779F3">
        <w:tc>
          <w:tcPr>
            <w:tcW w:w="5105" w:type="dxa"/>
          </w:tcPr>
          <w:p w14:paraId="622EC521" w14:textId="77777777" w:rsidR="001779F3" w:rsidRDefault="004401C2" w:rsidP="001779F3">
            <w:pPr>
              <w:rPr>
                <w:b/>
              </w:rPr>
            </w:pPr>
            <w:r>
              <w:rPr>
                <w:b/>
              </w:rPr>
              <w:t>Action Required:</w:t>
            </w:r>
          </w:p>
        </w:tc>
        <w:tc>
          <w:tcPr>
            <w:tcW w:w="5105" w:type="dxa"/>
          </w:tcPr>
          <w:p w14:paraId="374D6BD0" w14:textId="77777777" w:rsidR="001779F3" w:rsidRPr="004401C2" w:rsidRDefault="004401C2" w:rsidP="001779F3">
            <w:r w:rsidRPr="004401C2">
              <w:t>None</w:t>
            </w:r>
          </w:p>
        </w:tc>
      </w:tr>
    </w:tbl>
    <w:p w14:paraId="6C49AD75" w14:textId="77777777" w:rsidR="001779F3" w:rsidRDefault="00F4020E" w:rsidP="001F7C7F">
      <w:pPr>
        <w:spacing w:after="100" w:afterAutospacing="1"/>
      </w:pPr>
      <w:hyperlink w:anchor="chartiasr15" w:history="1">
        <w:r w:rsidR="00924DD1" w:rsidRPr="004B00F3">
          <w:rPr>
            <w:rStyle w:val="Hyperlink"/>
          </w:rPr>
          <w:t>Section 15</w:t>
        </w:r>
      </w:hyperlink>
      <w:r w:rsidR="00924DD1">
        <w:t xml:space="preserve"> requires that</w:t>
      </w:r>
      <w:r w:rsidR="004401C2" w:rsidRPr="004401C2">
        <w:t xml:space="preserve"> educational and training resources and materials</w:t>
      </w:r>
      <w:r w:rsidR="00924DD1">
        <w:t xml:space="preserve"> be made </w:t>
      </w:r>
      <w:r w:rsidR="004401C2" w:rsidRPr="004401C2">
        <w:t xml:space="preserve">accessible formats to students with disabilities, upon request. Student Accessibility Services provides these resources to registered students. Program information and student records is provided in accessible and conversion-ready formats upon request; a function largely filled by the Registrar’s Office. </w:t>
      </w:r>
    </w:p>
    <w:p w14:paraId="6190544B" w14:textId="77777777" w:rsidR="004401C2" w:rsidRPr="00AB2198" w:rsidRDefault="004401C2" w:rsidP="00AB2198">
      <w:pPr>
        <w:pStyle w:val="Heading4"/>
        <w:rPr>
          <w:rStyle w:val="SubtleEmphasis"/>
          <w:rFonts w:ascii="Arial" w:hAnsi="Arial" w:cs="Arial"/>
          <w:b/>
          <w:i/>
          <w:color w:val="auto"/>
        </w:rPr>
      </w:pPr>
      <w:r w:rsidRPr="00AB2198">
        <w:rPr>
          <w:rStyle w:val="SubtleEmphasis"/>
          <w:rFonts w:ascii="Arial" w:hAnsi="Arial" w:cs="Arial"/>
          <w:b/>
          <w:color w:val="auto"/>
        </w:rPr>
        <w:t>Awareness Training for Educators</w:t>
      </w:r>
    </w:p>
    <w:tbl>
      <w:tblPr>
        <w:tblStyle w:val="TableGrid"/>
        <w:tblW w:w="0" w:type="auto"/>
        <w:tblLook w:val="04A0" w:firstRow="1" w:lastRow="0" w:firstColumn="1" w:lastColumn="0" w:noHBand="0" w:noVBand="1"/>
        <w:tblCaption w:val="Awareness Training for Educators "/>
        <w:tblDescription w:val="AODA Referenced Section is 16 of Information and Communications Standard. The deadline for compliance was January 1, 2014 and Trent is currently in compliance with this requirement. Departmental Champion is the Centre for Human Rights, Equity and Accesibility. Action is required. See action items below table. "/>
      </w:tblPr>
      <w:tblGrid>
        <w:gridCol w:w="4661"/>
        <w:gridCol w:w="4689"/>
      </w:tblGrid>
      <w:tr w:rsidR="004401C2" w14:paraId="402777FE" w14:textId="77777777" w:rsidTr="004401C2">
        <w:tc>
          <w:tcPr>
            <w:tcW w:w="5105" w:type="dxa"/>
          </w:tcPr>
          <w:p w14:paraId="78FEA592" w14:textId="77777777" w:rsidR="004401C2" w:rsidRDefault="004401C2" w:rsidP="001779F3">
            <w:pPr>
              <w:rPr>
                <w:b/>
              </w:rPr>
            </w:pPr>
            <w:r>
              <w:rPr>
                <w:b/>
              </w:rPr>
              <w:t>AODA Reference:</w:t>
            </w:r>
          </w:p>
        </w:tc>
        <w:tc>
          <w:tcPr>
            <w:tcW w:w="5105" w:type="dxa"/>
          </w:tcPr>
          <w:p w14:paraId="5C22DA8F" w14:textId="77777777" w:rsidR="004401C2" w:rsidRPr="004401C2" w:rsidRDefault="004401C2" w:rsidP="001779F3">
            <w:bookmarkStart w:id="60" w:name="IASR16"/>
            <w:r w:rsidRPr="004401C2">
              <w:t>IASR s.16 – Information and Communications</w:t>
            </w:r>
            <w:bookmarkEnd w:id="60"/>
          </w:p>
        </w:tc>
      </w:tr>
      <w:tr w:rsidR="004401C2" w14:paraId="786EE7AD" w14:textId="77777777" w:rsidTr="004401C2">
        <w:tc>
          <w:tcPr>
            <w:tcW w:w="5105" w:type="dxa"/>
          </w:tcPr>
          <w:p w14:paraId="45330F29" w14:textId="77777777" w:rsidR="004401C2" w:rsidRDefault="00377DE1" w:rsidP="001779F3">
            <w:pPr>
              <w:rPr>
                <w:b/>
              </w:rPr>
            </w:pPr>
            <w:r>
              <w:rPr>
                <w:b/>
              </w:rPr>
              <w:t>Deadline and Status:</w:t>
            </w:r>
          </w:p>
        </w:tc>
        <w:tc>
          <w:tcPr>
            <w:tcW w:w="5105" w:type="dxa"/>
          </w:tcPr>
          <w:p w14:paraId="52D96119" w14:textId="77777777" w:rsidR="004401C2" w:rsidRPr="00924DD1" w:rsidRDefault="00377DE1" w:rsidP="001779F3">
            <w:r w:rsidRPr="00924DD1">
              <w:t xml:space="preserve">January 1, 2014 – Compliant </w:t>
            </w:r>
          </w:p>
        </w:tc>
      </w:tr>
      <w:tr w:rsidR="004401C2" w14:paraId="36A4E923" w14:textId="77777777" w:rsidTr="004401C2">
        <w:tc>
          <w:tcPr>
            <w:tcW w:w="5105" w:type="dxa"/>
          </w:tcPr>
          <w:p w14:paraId="51BAD1C1" w14:textId="77777777" w:rsidR="004401C2" w:rsidRDefault="00377DE1" w:rsidP="001779F3">
            <w:pPr>
              <w:rPr>
                <w:b/>
              </w:rPr>
            </w:pPr>
            <w:r>
              <w:rPr>
                <w:b/>
              </w:rPr>
              <w:t>Departmental Champions:</w:t>
            </w:r>
          </w:p>
        </w:tc>
        <w:tc>
          <w:tcPr>
            <w:tcW w:w="5105" w:type="dxa"/>
          </w:tcPr>
          <w:p w14:paraId="070DC756" w14:textId="77777777" w:rsidR="004401C2" w:rsidRPr="00377DE1" w:rsidRDefault="00377DE1" w:rsidP="001779F3">
            <w:r w:rsidRPr="00377DE1">
              <w:t>Centre for Human Rights, Equity and Accessibility</w:t>
            </w:r>
          </w:p>
        </w:tc>
      </w:tr>
      <w:tr w:rsidR="004401C2" w14:paraId="28E86845" w14:textId="77777777" w:rsidTr="004401C2">
        <w:tc>
          <w:tcPr>
            <w:tcW w:w="5105" w:type="dxa"/>
          </w:tcPr>
          <w:p w14:paraId="6F90B4B6" w14:textId="77777777" w:rsidR="004401C2" w:rsidRDefault="00377DE1" w:rsidP="001779F3">
            <w:pPr>
              <w:rPr>
                <w:b/>
              </w:rPr>
            </w:pPr>
            <w:r>
              <w:rPr>
                <w:b/>
              </w:rPr>
              <w:t xml:space="preserve">Action Required: </w:t>
            </w:r>
          </w:p>
        </w:tc>
        <w:tc>
          <w:tcPr>
            <w:tcW w:w="5105" w:type="dxa"/>
          </w:tcPr>
          <w:p w14:paraId="1D719185" w14:textId="77777777" w:rsidR="004401C2" w:rsidRPr="00377DE1" w:rsidRDefault="00377DE1" w:rsidP="001779F3">
            <w:r w:rsidRPr="00377DE1">
              <w:t>Yes – see actions below</w:t>
            </w:r>
          </w:p>
        </w:tc>
      </w:tr>
    </w:tbl>
    <w:p w14:paraId="76F4E772" w14:textId="77777777" w:rsidR="004401C2" w:rsidRDefault="00924DD1" w:rsidP="001779F3">
      <w:r>
        <w:t>Section 16 requires that educators receive</w:t>
      </w:r>
      <w:r w:rsidR="00377DE1" w:rsidRPr="00377DE1">
        <w:t xml:space="preserve"> awareness training on the needs of students with disabilities in the classroom. This learning opportunity is offered to all those who develop, deliver or instruct courses. Trent offers an online module through Blackboard as well as in-person training. Training is tracked and recorded by the Centre for Human Rights, Equity and Accessibility. </w:t>
      </w:r>
    </w:p>
    <w:p w14:paraId="2C5FEC16" w14:textId="77777777" w:rsidR="00377DE1" w:rsidRDefault="00377DE1" w:rsidP="001779F3">
      <w:pPr>
        <w:rPr>
          <w:b/>
        </w:rPr>
      </w:pPr>
      <w:r w:rsidRPr="00377DE1">
        <w:rPr>
          <w:b/>
        </w:rPr>
        <w:t>Actions:</w:t>
      </w:r>
    </w:p>
    <w:p w14:paraId="76F0E294" w14:textId="77777777" w:rsidR="00377DE1" w:rsidRDefault="00377DE1" w:rsidP="00710459">
      <w:pPr>
        <w:pStyle w:val="ListParagraph"/>
        <w:numPr>
          <w:ilvl w:val="0"/>
          <w:numId w:val="45"/>
        </w:numPr>
      </w:pPr>
      <w:r>
        <w:t>Trent University will continue to offer this training to educators</w:t>
      </w:r>
    </w:p>
    <w:p w14:paraId="123138C3" w14:textId="77777777" w:rsidR="00B26456" w:rsidRDefault="00377DE1" w:rsidP="001F7C7F">
      <w:pPr>
        <w:pStyle w:val="ListParagraph"/>
        <w:numPr>
          <w:ilvl w:val="0"/>
          <w:numId w:val="45"/>
        </w:numPr>
        <w:spacing w:after="100" w:afterAutospacing="1"/>
      </w:pPr>
      <w:r>
        <w:t xml:space="preserve">Training will continue to be tracked. </w:t>
      </w:r>
    </w:p>
    <w:p w14:paraId="055B4106" w14:textId="77777777" w:rsidR="00B26456" w:rsidRPr="00AB2198" w:rsidRDefault="00B26456" w:rsidP="00AB2198">
      <w:pPr>
        <w:pStyle w:val="Heading4"/>
        <w:rPr>
          <w:rStyle w:val="SubtleEmphasis"/>
          <w:rFonts w:ascii="Arial" w:hAnsi="Arial" w:cs="Arial"/>
          <w:b/>
          <w:i/>
          <w:color w:val="auto"/>
        </w:rPr>
      </w:pPr>
      <w:r w:rsidRPr="00AB2198">
        <w:rPr>
          <w:rStyle w:val="SubtleEmphasis"/>
          <w:rFonts w:ascii="Arial" w:hAnsi="Arial" w:cs="Arial"/>
          <w:b/>
          <w:color w:val="auto"/>
        </w:rPr>
        <w:t>Libraries of Educational and Training Institutions</w:t>
      </w:r>
    </w:p>
    <w:tbl>
      <w:tblPr>
        <w:tblStyle w:val="TableGrid"/>
        <w:tblW w:w="0" w:type="auto"/>
        <w:tblLook w:val="04A0" w:firstRow="1" w:lastRow="0" w:firstColumn="1" w:lastColumn="0" w:noHBand="0" w:noVBand="1"/>
        <w:tblCaption w:val="Libraries of Educational and Training Institutions "/>
        <w:tblDescription w:val="AODA Referenced Section is 18 of the Information and Communications Standard. The deadline for compliance was January 1, 2015 and Trent is currently in compliance with this requirement. Departmental Champions are the Libraries. No action is required at this time. "/>
      </w:tblPr>
      <w:tblGrid>
        <w:gridCol w:w="4661"/>
        <w:gridCol w:w="4689"/>
      </w:tblGrid>
      <w:tr w:rsidR="00B26456" w14:paraId="47FA1043" w14:textId="77777777" w:rsidTr="00B1069D">
        <w:tc>
          <w:tcPr>
            <w:tcW w:w="5105" w:type="dxa"/>
          </w:tcPr>
          <w:p w14:paraId="18DA2ECA" w14:textId="77777777" w:rsidR="00B26456" w:rsidRDefault="00C96837" w:rsidP="00B26456">
            <w:pPr>
              <w:rPr>
                <w:b/>
              </w:rPr>
            </w:pPr>
            <w:r>
              <w:rPr>
                <w:b/>
              </w:rPr>
              <w:t>AODA Reference:</w:t>
            </w:r>
          </w:p>
        </w:tc>
        <w:tc>
          <w:tcPr>
            <w:tcW w:w="5105" w:type="dxa"/>
          </w:tcPr>
          <w:p w14:paraId="0541CA49" w14:textId="77777777" w:rsidR="00B26456" w:rsidRPr="00C96837" w:rsidRDefault="00C96837" w:rsidP="00B26456">
            <w:bookmarkStart w:id="61" w:name="IASR18"/>
            <w:r w:rsidRPr="00C96837">
              <w:t>IASR s.18 – Information and Communications</w:t>
            </w:r>
            <w:bookmarkEnd w:id="61"/>
          </w:p>
        </w:tc>
      </w:tr>
      <w:tr w:rsidR="00B26456" w14:paraId="3BC27D5C" w14:textId="77777777" w:rsidTr="00B1069D">
        <w:tc>
          <w:tcPr>
            <w:tcW w:w="5105" w:type="dxa"/>
          </w:tcPr>
          <w:p w14:paraId="5F4EA797" w14:textId="77777777" w:rsidR="00B26456" w:rsidRDefault="00C96837" w:rsidP="00B26456">
            <w:pPr>
              <w:rPr>
                <w:b/>
              </w:rPr>
            </w:pPr>
            <w:r>
              <w:rPr>
                <w:b/>
              </w:rPr>
              <w:t>Deadline and Status:</w:t>
            </w:r>
          </w:p>
        </w:tc>
        <w:tc>
          <w:tcPr>
            <w:tcW w:w="5105" w:type="dxa"/>
          </w:tcPr>
          <w:p w14:paraId="6780301C" w14:textId="77777777" w:rsidR="00B26456" w:rsidRPr="00C96837" w:rsidRDefault="00C96837" w:rsidP="00B26456">
            <w:r w:rsidRPr="00C96837">
              <w:t>January 1, 2015 - Compliant</w:t>
            </w:r>
          </w:p>
        </w:tc>
      </w:tr>
      <w:tr w:rsidR="00B26456" w14:paraId="07B2A350" w14:textId="77777777" w:rsidTr="00B1069D">
        <w:tc>
          <w:tcPr>
            <w:tcW w:w="5105" w:type="dxa"/>
          </w:tcPr>
          <w:p w14:paraId="2F500E6F" w14:textId="77777777" w:rsidR="00B26456" w:rsidRDefault="00C96837" w:rsidP="00B26456">
            <w:pPr>
              <w:rPr>
                <w:b/>
              </w:rPr>
            </w:pPr>
            <w:r>
              <w:rPr>
                <w:b/>
              </w:rPr>
              <w:t>Departmental Champions:</w:t>
            </w:r>
          </w:p>
        </w:tc>
        <w:tc>
          <w:tcPr>
            <w:tcW w:w="5105" w:type="dxa"/>
          </w:tcPr>
          <w:p w14:paraId="2D469443" w14:textId="77777777" w:rsidR="00B26456" w:rsidRPr="00C96837" w:rsidRDefault="00C96837" w:rsidP="00B26456">
            <w:r w:rsidRPr="00C96837">
              <w:t>Libraries</w:t>
            </w:r>
          </w:p>
        </w:tc>
      </w:tr>
      <w:tr w:rsidR="00B26456" w14:paraId="7F981751" w14:textId="77777777" w:rsidTr="00B1069D">
        <w:tc>
          <w:tcPr>
            <w:tcW w:w="5105" w:type="dxa"/>
          </w:tcPr>
          <w:p w14:paraId="6B2FE6C9" w14:textId="77777777" w:rsidR="00B26456" w:rsidRDefault="00C96837" w:rsidP="00B26456">
            <w:pPr>
              <w:rPr>
                <w:b/>
              </w:rPr>
            </w:pPr>
            <w:r>
              <w:rPr>
                <w:b/>
              </w:rPr>
              <w:t xml:space="preserve">Action Required: </w:t>
            </w:r>
          </w:p>
        </w:tc>
        <w:tc>
          <w:tcPr>
            <w:tcW w:w="5105" w:type="dxa"/>
          </w:tcPr>
          <w:p w14:paraId="27B5AC1A" w14:textId="77777777" w:rsidR="00B26456" w:rsidRPr="00C96837" w:rsidRDefault="00C96837" w:rsidP="00B26456">
            <w:r w:rsidRPr="00C96837">
              <w:t>None</w:t>
            </w:r>
          </w:p>
        </w:tc>
      </w:tr>
    </w:tbl>
    <w:p w14:paraId="08C36F46" w14:textId="723B6F04" w:rsidR="00B26456" w:rsidRDefault="00F4020E" w:rsidP="001F7C7F">
      <w:pPr>
        <w:spacing w:after="100" w:afterAutospacing="1"/>
      </w:pPr>
      <w:hyperlink w:anchor="chartiasr18A" w:history="1">
        <w:r w:rsidR="00710459" w:rsidRPr="004B00F3">
          <w:rPr>
            <w:rStyle w:val="Hyperlink"/>
          </w:rPr>
          <w:t>Section 18</w:t>
        </w:r>
      </w:hyperlink>
      <w:r w:rsidR="00710459">
        <w:t xml:space="preserve"> requires libraries</w:t>
      </w:r>
      <w:r w:rsidR="00C96837" w:rsidRPr="00C96837">
        <w:t xml:space="preserve"> to provide print-based educational resources in accessible or conversion-ready formats upon request. Trent libraries provides this service and a large part of meeting this demand is</w:t>
      </w:r>
      <w:r w:rsidR="00710459">
        <w:t xml:space="preserve"> accomplished through</w:t>
      </w:r>
      <w:r w:rsidR="00C96837" w:rsidRPr="00C96837">
        <w:t xml:space="preserve"> the Accessible Content E-portal</w:t>
      </w:r>
      <w:r w:rsidR="00710459">
        <w:t xml:space="preserve"> (ACE)</w:t>
      </w:r>
      <w:r w:rsidR="0024175E">
        <w:t>,</w:t>
      </w:r>
      <w:r w:rsidR="00F45479">
        <w:t xml:space="preserve"> which is a collaboration </w:t>
      </w:r>
      <w:r w:rsidR="00C96837" w:rsidRPr="00C96837">
        <w:t xml:space="preserve">between Ontario universities. </w:t>
      </w:r>
    </w:p>
    <w:p w14:paraId="4C9072D2" w14:textId="77777777" w:rsidR="00102297" w:rsidRPr="00AB2198" w:rsidRDefault="00102297" w:rsidP="00AB2198">
      <w:pPr>
        <w:pStyle w:val="Heading4"/>
        <w:rPr>
          <w:rStyle w:val="SubtleEmphasis"/>
          <w:rFonts w:ascii="Arial" w:hAnsi="Arial" w:cs="Arial"/>
          <w:b/>
          <w:i/>
          <w:color w:val="auto"/>
        </w:rPr>
      </w:pPr>
      <w:r w:rsidRPr="00AB2198">
        <w:rPr>
          <w:rStyle w:val="SubtleEmphasis"/>
          <w:rFonts w:ascii="Arial" w:hAnsi="Arial" w:cs="Arial"/>
          <w:b/>
          <w:color w:val="auto"/>
        </w:rPr>
        <w:t>Recruitment, General</w:t>
      </w:r>
    </w:p>
    <w:tbl>
      <w:tblPr>
        <w:tblStyle w:val="TableGrid"/>
        <w:tblW w:w="0" w:type="auto"/>
        <w:tblLook w:val="04A0" w:firstRow="1" w:lastRow="0" w:firstColumn="1" w:lastColumn="0" w:noHBand="0" w:noVBand="1"/>
        <w:tblCaption w:val="Recruitment, General"/>
        <w:tblDescription w:val="AODA Referenced Section is 22 of the Employment Standard. Deadline for compliance was January 1, 2014 and Trent is in compliance with this requirement. Departmental champions are Human Resources and the Deans office. No action is required. "/>
      </w:tblPr>
      <w:tblGrid>
        <w:gridCol w:w="4658"/>
        <w:gridCol w:w="4692"/>
      </w:tblGrid>
      <w:tr w:rsidR="00102297" w14:paraId="644DA0E6" w14:textId="77777777" w:rsidTr="00102297">
        <w:tc>
          <w:tcPr>
            <w:tcW w:w="5105" w:type="dxa"/>
          </w:tcPr>
          <w:p w14:paraId="5C91CA70" w14:textId="77777777" w:rsidR="00102297" w:rsidRPr="00102297" w:rsidRDefault="00102297" w:rsidP="00B26456">
            <w:pPr>
              <w:rPr>
                <w:b/>
              </w:rPr>
            </w:pPr>
            <w:r w:rsidRPr="00102297">
              <w:rPr>
                <w:b/>
              </w:rPr>
              <w:t xml:space="preserve">AODA Reference: </w:t>
            </w:r>
          </w:p>
        </w:tc>
        <w:tc>
          <w:tcPr>
            <w:tcW w:w="5105" w:type="dxa"/>
          </w:tcPr>
          <w:p w14:paraId="601016F5" w14:textId="77777777" w:rsidR="00102297" w:rsidRDefault="00102297" w:rsidP="00B26456">
            <w:bookmarkStart w:id="62" w:name="IASR22"/>
            <w:r>
              <w:t>IASR s.22 - Employment</w:t>
            </w:r>
            <w:bookmarkEnd w:id="62"/>
          </w:p>
        </w:tc>
      </w:tr>
      <w:tr w:rsidR="00102297" w14:paraId="5A2946AF" w14:textId="77777777" w:rsidTr="00102297">
        <w:tc>
          <w:tcPr>
            <w:tcW w:w="5105" w:type="dxa"/>
          </w:tcPr>
          <w:p w14:paraId="112286FA" w14:textId="77777777" w:rsidR="00102297" w:rsidRPr="00102297" w:rsidRDefault="00102297" w:rsidP="00B26456">
            <w:pPr>
              <w:rPr>
                <w:b/>
              </w:rPr>
            </w:pPr>
            <w:r w:rsidRPr="00102297">
              <w:rPr>
                <w:b/>
              </w:rPr>
              <w:t xml:space="preserve">Deadline and Status: </w:t>
            </w:r>
          </w:p>
        </w:tc>
        <w:tc>
          <w:tcPr>
            <w:tcW w:w="5105" w:type="dxa"/>
          </w:tcPr>
          <w:p w14:paraId="74A0DC1D" w14:textId="77777777" w:rsidR="00102297" w:rsidRDefault="00102297" w:rsidP="00B26456">
            <w:r>
              <w:t>January 1, 2014 - Compliant</w:t>
            </w:r>
          </w:p>
        </w:tc>
      </w:tr>
      <w:tr w:rsidR="00102297" w14:paraId="1E7CCA75" w14:textId="77777777" w:rsidTr="00102297">
        <w:tc>
          <w:tcPr>
            <w:tcW w:w="5105" w:type="dxa"/>
          </w:tcPr>
          <w:p w14:paraId="7C89950B" w14:textId="77777777" w:rsidR="00102297" w:rsidRPr="00102297" w:rsidRDefault="00102297" w:rsidP="00B26456">
            <w:pPr>
              <w:rPr>
                <w:b/>
              </w:rPr>
            </w:pPr>
            <w:r w:rsidRPr="00102297">
              <w:rPr>
                <w:b/>
              </w:rPr>
              <w:t>Departmental Champions:</w:t>
            </w:r>
          </w:p>
        </w:tc>
        <w:tc>
          <w:tcPr>
            <w:tcW w:w="5105" w:type="dxa"/>
          </w:tcPr>
          <w:p w14:paraId="4527AF4C" w14:textId="77777777" w:rsidR="00102297" w:rsidRDefault="00102297" w:rsidP="00B26456">
            <w:r>
              <w:t>Human Resources</w:t>
            </w:r>
            <w:r w:rsidR="00F166A0">
              <w:t>/Deans Office</w:t>
            </w:r>
          </w:p>
        </w:tc>
      </w:tr>
      <w:tr w:rsidR="00102297" w14:paraId="1C6715A1" w14:textId="77777777" w:rsidTr="00102297">
        <w:tc>
          <w:tcPr>
            <w:tcW w:w="5105" w:type="dxa"/>
          </w:tcPr>
          <w:p w14:paraId="346FA7CC" w14:textId="77777777" w:rsidR="00102297" w:rsidRPr="001A0442" w:rsidRDefault="00102297" w:rsidP="00B26456">
            <w:pPr>
              <w:rPr>
                <w:b/>
              </w:rPr>
            </w:pPr>
            <w:r w:rsidRPr="001A0442">
              <w:rPr>
                <w:b/>
              </w:rPr>
              <w:t xml:space="preserve">Action Required: </w:t>
            </w:r>
          </w:p>
        </w:tc>
        <w:tc>
          <w:tcPr>
            <w:tcW w:w="5105" w:type="dxa"/>
          </w:tcPr>
          <w:p w14:paraId="3A8506EA" w14:textId="77777777" w:rsidR="00102297" w:rsidRDefault="00102297" w:rsidP="00B26456">
            <w:r>
              <w:t>None</w:t>
            </w:r>
          </w:p>
        </w:tc>
      </w:tr>
    </w:tbl>
    <w:p w14:paraId="39B57411" w14:textId="77777777" w:rsidR="00102297" w:rsidRDefault="00F4020E" w:rsidP="001F7C7F">
      <w:pPr>
        <w:spacing w:after="100" w:afterAutospacing="1"/>
      </w:pPr>
      <w:hyperlink w:anchor="chartiasr22" w:history="1">
        <w:r w:rsidR="00710459" w:rsidRPr="004B00F3">
          <w:rPr>
            <w:rStyle w:val="Hyperlink"/>
          </w:rPr>
          <w:t>Section 22</w:t>
        </w:r>
      </w:hyperlink>
      <w:r w:rsidR="00710459">
        <w:t xml:space="preserve"> requires Trent University</w:t>
      </w:r>
      <w:r w:rsidR="001A0442">
        <w:t xml:space="preserve"> to provide public notice of the availability </w:t>
      </w:r>
      <w:r w:rsidR="00710459">
        <w:t xml:space="preserve">of accommodation </w:t>
      </w:r>
      <w:r w:rsidR="001A0442">
        <w:t xml:space="preserve">in the recruitment process. To meet this requirement the Human Resources Department provides statements of accommodation on their webpage, job posting and in emails to those who have submitted resumes. </w:t>
      </w:r>
    </w:p>
    <w:p w14:paraId="01327AF5" w14:textId="77777777" w:rsidR="001A0442" w:rsidRPr="00AB2198" w:rsidRDefault="001A0442" w:rsidP="00AB2198">
      <w:pPr>
        <w:pStyle w:val="Heading4"/>
        <w:rPr>
          <w:rStyle w:val="SubtleEmphasis"/>
          <w:rFonts w:ascii="Arial" w:hAnsi="Arial" w:cs="Arial"/>
          <w:b/>
          <w:i/>
          <w:color w:val="auto"/>
        </w:rPr>
      </w:pPr>
      <w:r w:rsidRPr="00AB2198">
        <w:rPr>
          <w:rStyle w:val="SubtleEmphasis"/>
          <w:rFonts w:ascii="Arial" w:hAnsi="Arial" w:cs="Arial"/>
          <w:b/>
          <w:color w:val="auto"/>
        </w:rPr>
        <w:t xml:space="preserve">Recruitment, Assessment or Selection Process </w:t>
      </w:r>
    </w:p>
    <w:tbl>
      <w:tblPr>
        <w:tblStyle w:val="TableGrid"/>
        <w:tblW w:w="0" w:type="auto"/>
        <w:tblLook w:val="04A0" w:firstRow="1" w:lastRow="0" w:firstColumn="1" w:lastColumn="0" w:noHBand="0" w:noVBand="1"/>
        <w:tblCaption w:val="Recruitment, Assessment and Selection Process"/>
        <w:tblDescription w:val="AODA Referenced Section is 23 of the Employment Standard. Deadline for compliance was January 1, 2014 and Trent is in compliance with this requirement. Departmental Champions are Human Resources and the Deans office. No action is required. "/>
      </w:tblPr>
      <w:tblGrid>
        <w:gridCol w:w="4658"/>
        <w:gridCol w:w="4692"/>
      </w:tblGrid>
      <w:tr w:rsidR="001A0442" w14:paraId="325E206D" w14:textId="77777777" w:rsidTr="001A0442">
        <w:tc>
          <w:tcPr>
            <w:tcW w:w="5105" w:type="dxa"/>
          </w:tcPr>
          <w:p w14:paraId="08A3C720" w14:textId="77777777" w:rsidR="001A0442" w:rsidRDefault="001A0442" w:rsidP="00B26456">
            <w:pPr>
              <w:rPr>
                <w:b/>
              </w:rPr>
            </w:pPr>
            <w:r>
              <w:rPr>
                <w:b/>
              </w:rPr>
              <w:t>AODA Reference:</w:t>
            </w:r>
          </w:p>
        </w:tc>
        <w:tc>
          <w:tcPr>
            <w:tcW w:w="5105" w:type="dxa"/>
          </w:tcPr>
          <w:p w14:paraId="0E1AB9FF" w14:textId="77777777" w:rsidR="001A0442" w:rsidRPr="001A0442" w:rsidRDefault="001A0442" w:rsidP="00B26456">
            <w:bookmarkStart w:id="63" w:name="IASR23"/>
            <w:r w:rsidRPr="001A0442">
              <w:t>IASR s.23 - Employment</w:t>
            </w:r>
            <w:bookmarkEnd w:id="63"/>
          </w:p>
        </w:tc>
      </w:tr>
      <w:tr w:rsidR="001A0442" w14:paraId="54F0FAC0" w14:textId="77777777" w:rsidTr="001A0442">
        <w:tc>
          <w:tcPr>
            <w:tcW w:w="5105" w:type="dxa"/>
          </w:tcPr>
          <w:p w14:paraId="600EBAF1" w14:textId="77777777" w:rsidR="001A0442" w:rsidRDefault="001A0442" w:rsidP="00B26456">
            <w:pPr>
              <w:rPr>
                <w:b/>
              </w:rPr>
            </w:pPr>
            <w:r>
              <w:rPr>
                <w:b/>
              </w:rPr>
              <w:t>Deadline and Status:</w:t>
            </w:r>
          </w:p>
        </w:tc>
        <w:tc>
          <w:tcPr>
            <w:tcW w:w="5105" w:type="dxa"/>
          </w:tcPr>
          <w:p w14:paraId="3026A0BB" w14:textId="77777777" w:rsidR="001A0442" w:rsidRPr="001A0442" w:rsidRDefault="001A0442" w:rsidP="00B26456">
            <w:r w:rsidRPr="001A0442">
              <w:t>January 1, 2014 - Compliant</w:t>
            </w:r>
          </w:p>
        </w:tc>
      </w:tr>
      <w:tr w:rsidR="001A0442" w14:paraId="01EDECE3" w14:textId="77777777" w:rsidTr="001A0442">
        <w:tc>
          <w:tcPr>
            <w:tcW w:w="5105" w:type="dxa"/>
          </w:tcPr>
          <w:p w14:paraId="3BD08944" w14:textId="77777777" w:rsidR="001A0442" w:rsidRDefault="001A0442" w:rsidP="00B26456">
            <w:pPr>
              <w:rPr>
                <w:b/>
              </w:rPr>
            </w:pPr>
            <w:r>
              <w:rPr>
                <w:b/>
              </w:rPr>
              <w:t>Departmental Champions:</w:t>
            </w:r>
          </w:p>
        </w:tc>
        <w:tc>
          <w:tcPr>
            <w:tcW w:w="5105" w:type="dxa"/>
          </w:tcPr>
          <w:p w14:paraId="4A2ED6A9" w14:textId="77777777" w:rsidR="001A0442" w:rsidRPr="001A0442" w:rsidRDefault="001A0442" w:rsidP="00B26456">
            <w:r w:rsidRPr="001A0442">
              <w:t>Human Resources</w:t>
            </w:r>
            <w:r w:rsidR="00F166A0">
              <w:t>/Deans Office</w:t>
            </w:r>
          </w:p>
        </w:tc>
      </w:tr>
      <w:tr w:rsidR="001A0442" w14:paraId="3A9CAF3D" w14:textId="77777777" w:rsidTr="001A0442">
        <w:tc>
          <w:tcPr>
            <w:tcW w:w="5105" w:type="dxa"/>
          </w:tcPr>
          <w:p w14:paraId="1FA56BA0" w14:textId="77777777" w:rsidR="001A0442" w:rsidRDefault="001A0442" w:rsidP="00B26456">
            <w:pPr>
              <w:rPr>
                <w:b/>
              </w:rPr>
            </w:pPr>
            <w:r>
              <w:rPr>
                <w:b/>
              </w:rPr>
              <w:t xml:space="preserve">Action Required: </w:t>
            </w:r>
          </w:p>
        </w:tc>
        <w:tc>
          <w:tcPr>
            <w:tcW w:w="5105" w:type="dxa"/>
          </w:tcPr>
          <w:p w14:paraId="281EA495" w14:textId="77777777" w:rsidR="001A0442" w:rsidRPr="001A0442" w:rsidRDefault="001A0442" w:rsidP="00B26456">
            <w:r w:rsidRPr="001A0442">
              <w:t>None</w:t>
            </w:r>
          </w:p>
        </w:tc>
      </w:tr>
    </w:tbl>
    <w:p w14:paraId="27FB7919" w14:textId="77777777" w:rsidR="001A0442" w:rsidRDefault="00F4020E" w:rsidP="001F7C7F">
      <w:pPr>
        <w:spacing w:after="100" w:afterAutospacing="1"/>
      </w:pPr>
      <w:hyperlink w:anchor="chartiasr23" w:history="1">
        <w:r w:rsidR="00710459" w:rsidRPr="004B00F3">
          <w:rPr>
            <w:rStyle w:val="Hyperlink"/>
          </w:rPr>
          <w:t>Section 23</w:t>
        </w:r>
      </w:hyperlink>
      <w:r w:rsidR="00710459">
        <w:t xml:space="preserve"> requires that Trent University</w:t>
      </w:r>
      <w:r w:rsidR="001A0442" w:rsidRPr="001A0442">
        <w:t xml:space="preserve"> provide notice of availability of accommodations to selected candidates in the recruitment process. Trent does this through providing notice by email and/or phone call to applicants selected for further assessment/interview. When requested by candidate, appropriate disability-related accommodation is provided during recruitment process. </w:t>
      </w:r>
    </w:p>
    <w:p w14:paraId="756187ED" w14:textId="77777777" w:rsidR="001A0442" w:rsidRPr="00AB2198" w:rsidRDefault="00F166A0" w:rsidP="00AB2198">
      <w:pPr>
        <w:pStyle w:val="Heading4"/>
        <w:rPr>
          <w:rStyle w:val="SubtleEmphasis"/>
          <w:rFonts w:ascii="Arial" w:hAnsi="Arial" w:cs="Arial"/>
          <w:b/>
          <w:i/>
          <w:color w:val="auto"/>
        </w:rPr>
      </w:pPr>
      <w:r w:rsidRPr="00AB2198">
        <w:rPr>
          <w:rStyle w:val="SubtleEmphasis"/>
          <w:rFonts w:ascii="Arial" w:hAnsi="Arial" w:cs="Arial"/>
          <w:b/>
          <w:color w:val="auto"/>
        </w:rPr>
        <w:t>Notice to Successful Applicants</w:t>
      </w:r>
    </w:p>
    <w:tbl>
      <w:tblPr>
        <w:tblStyle w:val="TableGrid"/>
        <w:tblW w:w="0" w:type="auto"/>
        <w:tblLook w:val="04A0" w:firstRow="1" w:lastRow="0" w:firstColumn="1" w:lastColumn="0" w:noHBand="0" w:noVBand="1"/>
        <w:tblCaption w:val="Notice to Successful Applicants "/>
        <w:tblDescription w:val="AODA Referenced Section is 24 of the Employment Standard. The deadline for compliance was January 1, 2014 and Trent is in compliance with this requirement. Departmental Champions are Human Resources and Deans office. No action is required. "/>
      </w:tblPr>
      <w:tblGrid>
        <w:gridCol w:w="4658"/>
        <w:gridCol w:w="4692"/>
      </w:tblGrid>
      <w:tr w:rsidR="00F166A0" w14:paraId="59A610BA" w14:textId="77777777" w:rsidTr="00F166A0">
        <w:tc>
          <w:tcPr>
            <w:tcW w:w="5105" w:type="dxa"/>
          </w:tcPr>
          <w:p w14:paraId="39A872C1" w14:textId="77777777" w:rsidR="00F166A0" w:rsidRDefault="00F166A0" w:rsidP="00B26456">
            <w:pPr>
              <w:rPr>
                <w:b/>
              </w:rPr>
            </w:pPr>
            <w:r>
              <w:rPr>
                <w:b/>
              </w:rPr>
              <w:t xml:space="preserve">AODA Reference: </w:t>
            </w:r>
          </w:p>
        </w:tc>
        <w:tc>
          <w:tcPr>
            <w:tcW w:w="5105" w:type="dxa"/>
          </w:tcPr>
          <w:p w14:paraId="0E472012" w14:textId="77777777" w:rsidR="00F166A0" w:rsidRPr="007A7ADE" w:rsidRDefault="00F166A0" w:rsidP="00F166A0">
            <w:bookmarkStart w:id="64" w:name="IASR24"/>
            <w:r w:rsidRPr="007A7ADE">
              <w:t xml:space="preserve">IASR s.24 – Employment </w:t>
            </w:r>
            <w:bookmarkEnd w:id="64"/>
          </w:p>
        </w:tc>
      </w:tr>
      <w:tr w:rsidR="00F166A0" w14:paraId="480B46AC" w14:textId="77777777" w:rsidTr="00F166A0">
        <w:tc>
          <w:tcPr>
            <w:tcW w:w="5105" w:type="dxa"/>
          </w:tcPr>
          <w:p w14:paraId="52DCA6A1" w14:textId="77777777" w:rsidR="00F166A0" w:rsidRDefault="007A7ADE" w:rsidP="00B26456">
            <w:pPr>
              <w:rPr>
                <w:b/>
              </w:rPr>
            </w:pPr>
            <w:r>
              <w:rPr>
                <w:b/>
              </w:rPr>
              <w:t xml:space="preserve">Deadline and Status: </w:t>
            </w:r>
          </w:p>
        </w:tc>
        <w:tc>
          <w:tcPr>
            <w:tcW w:w="5105" w:type="dxa"/>
          </w:tcPr>
          <w:p w14:paraId="75F16060" w14:textId="77777777" w:rsidR="00F166A0" w:rsidRPr="007A7ADE" w:rsidRDefault="007A7ADE" w:rsidP="00B26456">
            <w:r w:rsidRPr="007A7ADE">
              <w:t>January 1, 2014 - Compliant</w:t>
            </w:r>
          </w:p>
        </w:tc>
      </w:tr>
      <w:tr w:rsidR="00F166A0" w14:paraId="50DE9EC3" w14:textId="77777777" w:rsidTr="00F166A0">
        <w:tc>
          <w:tcPr>
            <w:tcW w:w="5105" w:type="dxa"/>
          </w:tcPr>
          <w:p w14:paraId="73A321CD" w14:textId="77777777" w:rsidR="00F166A0" w:rsidRDefault="007A7ADE" w:rsidP="00B26456">
            <w:pPr>
              <w:rPr>
                <w:b/>
              </w:rPr>
            </w:pPr>
            <w:r>
              <w:rPr>
                <w:b/>
              </w:rPr>
              <w:t>Departmental Champions:</w:t>
            </w:r>
          </w:p>
        </w:tc>
        <w:tc>
          <w:tcPr>
            <w:tcW w:w="5105" w:type="dxa"/>
          </w:tcPr>
          <w:p w14:paraId="5454B633" w14:textId="77777777" w:rsidR="00F166A0" w:rsidRPr="007A7ADE" w:rsidRDefault="007A7ADE" w:rsidP="00B26456">
            <w:r w:rsidRPr="007A7ADE">
              <w:t>Human Resources/Deans Office</w:t>
            </w:r>
          </w:p>
        </w:tc>
      </w:tr>
      <w:tr w:rsidR="00F166A0" w14:paraId="07B3BFEE" w14:textId="77777777" w:rsidTr="00F166A0">
        <w:tc>
          <w:tcPr>
            <w:tcW w:w="5105" w:type="dxa"/>
          </w:tcPr>
          <w:p w14:paraId="077D8FB0" w14:textId="77777777" w:rsidR="00F166A0" w:rsidRDefault="007A7ADE" w:rsidP="00B26456">
            <w:pPr>
              <w:rPr>
                <w:b/>
              </w:rPr>
            </w:pPr>
            <w:r>
              <w:rPr>
                <w:b/>
              </w:rPr>
              <w:t>Action Required:</w:t>
            </w:r>
          </w:p>
        </w:tc>
        <w:tc>
          <w:tcPr>
            <w:tcW w:w="5105" w:type="dxa"/>
          </w:tcPr>
          <w:p w14:paraId="76FDF52D" w14:textId="77777777" w:rsidR="00F166A0" w:rsidRPr="007A7ADE" w:rsidRDefault="007A7ADE" w:rsidP="00B26456">
            <w:r w:rsidRPr="007A7ADE">
              <w:t>None</w:t>
            </w:r>
          </w:p>
        </w:tc>
      </w:tr>
    </w:tbl>
    <w:p w14:paraId="15D6B540" w14:textId="77777777" w:rsidR="00F166A0" w:rsidRDefault="00F4020E" w:rsidP="00B26456">
      <w:hyperlink w:anchor="chartiasr24" w:history="1">
        <w:r w:rsidR="00710459" w:rsidRPr="004B00F3">
          <w:rPr>
            <w:rStyle w:val="Hyperlink"/>
          </w:rPr>
          <w:t>Section 24</w:t>
        </w:r>
      </w:hyperlink>
      <w:r w:rsidR="00710459">
        <w:t xml:space="preserve"> requires Trent University</w:t>
      </w:r>
      <w:r w:rsidR="007A7ADE" w:rsidRPr="007A7ADE">
        <w:t xml:space="preserve"> to provide notice to successful applicants of accommodation policies in the workplace. Trent meets this requirement by providing this information in letters of offer, hiring packages and through Trent’s New Employee Orientation. </w:t>
      </w:r>
    </w:p>
    <w:p w14:paraId="68F41D08" w14:textId="77777777" w:rsidR="007A7ADE" w:rsidRPr="00AB2198" w:rsidRDefault="00B1069D" w:rsidP="00AB2198">
      <w:pPr>
        <w:pStyle w:val="Heading4"/>
        <w:rPr>
          <w:rStyle w:val="SubtleEmphasis"/>
          <w:rFonts w:ascii="Arial" w:hAnsi="Arial" w:cs="Arial"/>
          <w:b/>
          <w:i/>
          <w:color w:val="auto"/>
        </w:rPr>
      </w:pPr>
      <w:r w:rsidRPr="00AB2198">
        <w:rPr>
          <w:rStyle w:val="SubtleEmphasis"/>
          <w:rFonts w:ascii="Arial" w:hAnsi="Arial" w:cs="Arial"/>
          <w:b/>
          <w:color w:val="auto"/>
        </w:rPr>
        <w:t xml:space="preserve">Informing Employees of Supports </w:t>
      </w:r>
    </w:p>
    <w:tbl>
      <w:tblPr>
        <w:tblStyle w:val="TableGrid"/>
        <w:tblW w:w="0" w:type="auto"/>
        <w:tblLook w:val="04A0" w:firstRow="1" w:lastRow="0" w:firstColumn="1" w:lastColumn="0" w:noHBand="0" w:noVBand="1"/>
        <w:tblCaption w:val="Informing Employees of Supports "/>
        <w:tblDescription w:val="AODA Referenced Section is 25 of the Employment Standard. Deadline for compliance was January 1, 2014 and Trent is in compliance. Departmental champion is Human Resources. Action is required. See action list below table. "/>
      </w:tblPr>
      <w:tblGrid>
        <w:gridCol w:w="4683"/>
        <w:gridCol w:w="4667"/>
      </w:tblGrid>
      <w:tr w:rsidR="00B1069D" w14:paraId="68452512" w14:textId="77777777" w:rsidTr="00B1069D">
        <w:tc>
          <w:tcPr>
            <w:tcW w:w="5105" w:type="dxa"/>
          </w:tcPr>
          <w:p w14:paraId="780AB25D" w14:textId="77777777" w:rsidR="00B1069D" w:rsidRDefault="00B1069D" w:rsidP="00B26456">
            <w:pPr>
              <w:rPr>
                <w:b/>
              </w:rPr>
            </w:pPr>
            <w:r>
              <w:rPr>
                <w:b/>
              </w:rPr>
              <w:t xml:space="preserve">AODA Reference: </w:t>
            </w:r>
          </w:p>
        </w:tc>
        <w:tc>
          <w:tcPr>
            <w:tcW w:w="5105" w:type="dxa"/>
          </w:tcPr>
          <w:p w14:paraId="4D69A0A8" w14:textId="77777777" w:rsidR="00B1069D" w:rsidRPr="00475588" w:rsidRDefault="00B1069D" w:rsidP="00B26456">
            <w:bookmarkStart w:id="65" w:name="IASR25"/>
            <w:r w:rsidRPr="00475588">
              <w:t>IASR s.25 - Employment</w:t>
            </w:r>
            <w:bookmarkEnd w:id="65"/>
          </w:p>
        </w:tc>
      </w:tr>
      <w:tr w:rsidR="00B1069D" w14:paraId="148AB118" w14:textId="77777777" w:rsidTr="00B1069D">
        <w:tc>
          <w:tcPr>
            <w:tcW w:w="5105" w:type="dxa"/>
          </w:tcPr>
          <w:p w14:paraId="3FAC0DCA" w14:textId="77777777" w:rsidR="00B1069D" w:rsidRDefault="00B1069D" w:rsidP="00B26456">
            <w:pPr>
              <w:rPr>
                <w:b/>
              </w:rPr>
            </w:pPr>
            <w:r>
              <w:rPr>
                <w:b/>
              </w:rPr>
              <w:t>Deadline and Status:</w:t>
            </w:r>
          </w:p>
        </w:tc>
        <w:tc>
          <w:tcPr>
            <w:tcW w:w="5105" w:type="dxa"/>
          </w:tcPr>
          <w:p w14:paraId="4699C796" w14:textId="77777777" w:rsidR="00B1069D" w:rsidRPr="00475588" w:rsidRDefault="00B1069D" w:rsidP="00B26456">
            <w:r w:rsidRPr="00475588">
              <w:t>January 1, 2014 - Compliant</w:t>
            </w:r>
          </w:p>
        </w:tc>
      </w:tr>
      <w:tr w:rsidR="00B1069D" w14:paraId="66120050" w14:textId="77777777" w:rsidTr="00B1069D">
        <w:tc>
          <w:tcPr>
            <w:tcW w:w="5105" w:type="dxa"/>
          </w:tcPr>
          <w:p w14:paraId="27B892E7" w14:textId="77777777" w:rsidR="00B1069D" w:rsidRDefault="00B1069D" w:rsidP="00B26456">
            <w:pPr>
              <w:rPr>
                <w:b/>
              </w:rPr>
            </w:pPr>
            <w:r>
              <w:rPr>
                <w:b/>
              </w:rPr>
              <w:t>Departmental Champions:</w:t>
            </w:r>
          </w:p>
        </w:tc>
        <w:tc>
          <w:tcPr>
            <w:tcW w:w="5105" w:type="dxa"/>
          </w:tcPr>
          <w:p w14:paraId="6EE86FB2" w14:textId="77777777" w:rsidR="00B1069D" w:rsidRPr="00475588" w:rsidRDefault="00B1069D" w:rsidP="00B26456">
            <w:r w:rsidRPr="00475588">
              <w:t>Human Resources</w:t>
            </w:r>
          </w:p>
        </w:tc>
      </w:tr>
      <w:tr w:rsidR="00B1069D" w14:paraId="3276F60B" w14:textId="77777777" w:rsidTr="00B1069D">
        <w:tc>
          <w:tcPr>
            <w:tcW w:w="5105" w:type="dxa"/>
          </w:tcPr>
          <w:p w14:paraId="5BA2F89E" w14:textId="77777777" w:rsidR="00B1069D" w:rsidRDefault="00B1069D" w:rsidP="00B26456">
            <w:pPr>
              <w:rPr>
                <w:b/>
              </w:rPr>
            </w:pPr>
            <w:r>
              <w:rPr>
                <w:b/>
              </w:rPr>
              <w:t>Action Required:</w:t>
            </w:r>
          </w:p>
        </w:tc>
        <w:tc>
          <w:tcPr>
            <w:tcW w:w="5105" w:type="dxa"/>
          </w:tcPr>
          <w:p w14:paraId="1628B365" w14:textId="77777777" w:rsidR="00B1069D" w:rsidRPr="00475588" w:rsidRDefault="00B1069D" w:rsidP="00B26456">
            <w:r w:rsidRPr="00475588">
              <w:t>Yes- see actions below</w:t>
            </w:r>
          </w:p>
        </w:tc>
      </w:tr>
    </w:tbl>
    <w:p w14:paraId="18C9E15C" w14:textId="77777777" w:rsidR="00B1069D" w:rsidRPr="00B1069D" w:rsidRDefault="00F4020E" w:rsidP="00B26456">
      <w:hyperlink w:anchor="chartiasr25" w:history="1">
        <w:r w:rsidR="00710459" w:rsidRPr="004B00F3">
          <w:rPr>
            <w:rStyle w:val="Hyperlink"/>
          </w:rPr>
          <w:t>Section 25</w:t>
        </w:r>
      </w:hyperlink>
      <w:r w:rsidR="00710459">
        <w:t xml:space="preserve"> requires that Trent University keep employees </w:t>
      </w:r>
      <w:r w:rsidR="00B1069D" w:rsidRPr="00B1069D">
        <w:t xml:space="preserve">informed of supports related to accommodation and disability in the workplace. In 2014 Trent widely promulgated its new Accommodation for Employees with Disabilities Policy and continues to keep employees up to date on policy and related changes through workshops, portal announcements and notices sent to department heads. </w:t>
      </w:r>
    </w:p>
    <w:p w14:paraId="13D74657" w14:textId="77777777" w:rsidR="00B1069D" w:rsidRPr="00B1069D" w:rsidRDefault="00B1069D" w:rsidP="00B26456">
      <w:r w:rsidRPr="00B1069D">
        <w:t>Trent will continue to take the following actions to meet this requirement:</w:t>
      </w:r>
    </w:p>
    <w:p w14:paraId="44B228C2" w14:textId="77777777" w:rsidR="00B1069D" w:rsidRDefault="00710459" w:rsidP="001F7C7F">
      <w:pPr>
        <w:pStyle w:val="ListParagraph"/>
        <w:numPr>
          <w:ilvl w:val="0"/>
          <w:numId w:val="42"/>
        </w:numPr>
        <w:spacing w:after="100" w:afterAutospacing="1"/>
      </w:pPr>
      <w:r>
        <w:t>Keep e</w:t>
      </w:r>
      <w:r w:rsidR="00B1069D" w:rsidRPr="00B1069D">
        <w:t>mployees informed of all disability and accommodation-related policy, process and procedure introductions or</w:t>
      </w:r>
      <w:r>
        <w:t xml:space="preserve"> changes to current</w:t>
      </w:r>
      <w:r w:rsidR="00B1069D" w:rsidRPr="00B1069D">
        <w:t xml:space="preserve"> procedures through various channels while taking into account needs of employees with disabilities. </w:t>
      </w:r>
    </w:p>
    <w:p w14:paraId="01D27A50" w14:textId="77777777" w:rsidR="00B1069D" w:rsidRPr="00AB2198" w:rsidRDefault="00475588" w:rsidP="00AB2198">
      <w:pPr>
        <w:pStyle w:val="Heading4"/>
        <w:rPr>
          <w:rStyle w:val="Heading4Char"/>
          <w:rFonts w:ascii="Arial" w:hAnsi="Arial" w:cs="Arial"/>
          <w:b/>
          <w:i/>
          <w:color w:val="auto"/>
        </w:rPr>
      </w:pPr>
      <w:r w:rsidRPr="00AB2198">
        <w:rPr>
          <w:rStyle w:val="Heading4Char"/>
          <w:rFonts w:ascii="Arial" w:hAnsi="Arial" w:cs="Arial"/>
          <w:b/>
          <w:color w:val="auto"/>
        </w:rPr>
        <w:t>Accessible Formats and Communication Supports for Employees</w:t>
      </w:r>
    </w:p>
    <w:tbl>
      <w:tblPr>
        <w:tblStyle w:val="TableGrid"/>
        <w:tblW w:w="0" w:type="auto"/>
        <w:tblLook w:val="04A0" w:firstRow="1" w:lastRow="0" w:firstColumn="1" w:lastColumn="0" w:noHBand="0" w:noVBand="1"/>
        <w:tblCaption w:val="Accessible Formats and Communication Supports for Employees"/>
        <w:tblDescription w:val="AODA Referenced Section is 26 of the Employment Standard. Deadline for compliance was January 1, 2014 and Trent is in compliance. Departmental Champion is Human Resources. No action is required. "/>
      </w:tblPr>
      <w:tblGrid>
        <w:gridCol w:w="4683"/>
        <w:gridCol w:w="4667"/>
      </w:tblGrid>
      <w:tr w:rsidR="00475588" w14:paraId="7CC4F066" w14:textId="77777777" w:rsidTr="00475588">
        <w:tc>
          <w:tcPr>
            <w:tcW w:w="5105" w:type="dxa"/>
          </w:tcPr>
          <w:p w14:paraId="02AB0EC1" w14:textId="77777777" w:rsidR="00475588" w:rsidRPr="00475588" w:rsidRDefault="00475588" w:rsidP="00B1069D">
            <w:pPr>
              <w:rPr>
                <w:b/>
              </w:rPr>
            </w:pPr>
            <w:r w:rsidRPr="00475588">
              <w:rPr>
                <w:b/>
              </w:rPr>
              <w:t xml:space="preserve">AODA Reference: </w:t>
            </w:r>
          </w:p>
        </w:tc>
        <w:tc>
          <w:tcPr>
            <w:tcW w:w="5105" w:type="dxa"/>
          </w:tcPr>
          <w:p w14:paraId="7761C4B9" w14:textId="77777777" w:rsidR="00475588" w:rsidRDefault="00475588" w:rsidP="00B1069D">
            <w:bookmarkStart w:id="66" w:name="IASR26"/>
            <w:r>
              <w:t>IASR s.26 - Employment</w:t>
            </w:r>
            <w:bookmarkEnd w:id="66"/>
          </w:p>
        </w:tc>
      </w:tr>
      <w:tr w:rsidR="00475588" w14:paraId="2E5EBFA8" w14:textId="77777777" w:rsidTr="00475588">
        <w:tc>
          <w:tcPr>
            <w:tcW w:w="5105" w:type="dxa"/>
          </w:tcPr>
          <w:p w14:paraId="2A4773B7" w14:textId="77777777" w:rsidR="00475588" w:rsidRPr="00475588" w:rsidRDefault="00475588" w:rsidP="00B1069D">
            <w:pPr>
              <w:rPr>
                <w:b/>
              </w:rPr>
            </w:pPr>
            <w:r w:rsidRPr="00475588">
              <w:rPr>
                <w:b/>
              </w:rPr>
              <w:t>Deadline and Status:</w:t>
            </w:r>
          </w:p>
        </w:tc>
        <w:tc>
          <w:tcPr>
            <w:tcW w:w="5105" w:type="dxa"/>
          </w:tcPr>
          <w:p w14:paraId="122EF44C" w14:textId="77777777" w:rsidR="00475588" w:rsidRDefault="00475588" w:rsidP="00B1069D">
            <w:r>
              <w:t xml:space="preserve">January 1, 2014 – Compliant </w:t>
            </w:r>
          </w:p>
        </w:tc>
      </w:tr>
      <w:tr w:rsidR="00475588" w14:paraId="44812F66" w14:textId="77777777" w:rsidTr="00475588">
        <w:tc>
          <w:tcPr>
            <w:tcW w:w="5105" w:type="dxa"/>
          </w:tcPr>
          <w:p w14:paraId="03EB64C7" w14:textId="77777777" w:rsidR="00475588" w:rsidRPr="00475588" w:rsidRDefault="00475588" w:rsidP="00B1069D">
            <w:pPr>
              <w:rPr>
                <w:b/>
              </w:rPr>
            </w:pPr>
            <w:r w:rsidRPr="00475588">
              <w:rPr>
                <w:b/>
              </w:rPr>
              <w:t>Departmental Champions:</w:t>
            </w:r>
          </w:p>
        </w:tc>
        <w:tc>
          <w:tcPr>
            <w:tcW w:w="5105" w:type="dxa"/>
          </w:tcPr>
          <w:p w14:paraId="7885EA79" w14:textId="77777777" w:rsidR="00475588" w:rsidRDefault="00475588" w:rsidP="00B1069D">
            <w:r>
              <w:t>Human Resources</w:t>
            </w:r>
          </w:p>
        </w:tc>
      </w:tr>
      <w:tr w:rsidR="00475588" w14:paraId="27BB60B5" w14:textId="77777777" w:rsidTr="00475588">
        <w:tc>
          <w:tcPr>
            <w:tcW w:w="5105" w:type="dxa"/>
          </w:tcPr>
          <w:p w14:paraId="2B04373E" w14:textId="77777777" w:rsidR="00475588" w:rsidRPr="00475588" w:rsidRDefault="00475588" w:rsidP="00B1069D">
            <w:pPr>
              <w:rPr>
                <w:b/>
              </w:rPr>
            </w:pPr>
            <w:r w:rsidRPr="00475588">
              <w:rPr>
                <w:b/>
              </w:rPr>
              <w:t xml:space="preserve">Action Required: </w:t>
            </w:r>
          </w:p>
        </w:tc>
        <w:tc>
          <w:tcPr>
            <w:tcW w:w="5105" w:type="dxa"/>
          </w:tcPr>
          <w:p w14:paraId="5BC82189" w14:textId="77777777" w:rsidR="00475588" w:rsidRDefault="00475588" w:rsidP="00B1069D">
            <w:r>
              <w:t>None</w:t>
            </w:r>
          </w:p>
        </w:tc>
      </w:tr>
    </w:tbl>
    <w:p w14:paraId="5A79D4B9" w14:textId="77777777" w:rsidR="00475588" w:rsidRDefault="00F4020E" w:rsidP="00903647">
      <w:pPr>
        <w:spacing w:after="100" w:afterAutospacing="1"/>
      </w:pPr>
      <w:hyperlink w:anchor="chartiasr26" w:history="1">
        <w:r w:rsidR="00710459" w:rsidRPr="004B00F3">
          <w:rPr>
            <w:rStyle w:val="Hyperlink"/>
          </w:rPr>
          <w:t>Section 26</w:t>
        </w:r>
      </w:hyperlink>
      <w:r w:rsidR="00710459">
        <w:t xml:space="preserve"> requires that </w:t>
      </w:r>
      <w:r w:rsidR="00475588">
        <w:t xml:space="preserve">Trent </w:t>
      </w:r>
      <w:r w:rsidR="00710459">
        <w:t>University</w:t>
      </w:r>
      <w:r w:rsidR="00475588">
        <w:t xml:space="preserve"> provide accessible formats or communication supports to employees, upon request, as it relates to job or workplace information. </w:t>
      </w:r>
      <w:r w:rsidR="001632A3">
        <w:t xml:space="preserve">Trent achieves this as employees have the option of working with Human Resources to have these types of accommodation requests met. Departments are encouraged to have accessible or conversion-ready formats of information available. </w:t>
      </w:r>
    </w:p>
    <w:p w14:paraId="0EE2964D" w14:textId="77777777" w:rsidR="001632A3" w:rsidRPr="00AB2198" w:rsidRDefault="009D4154" w:rsidP="00AB2198">
      <w:pPr>
        <w:pStyle w:val="Heading4"/>
        <w:rPr>
          <w:rStyle w:val="SubtleEmphasis"/>
          <w:rFonts w:ascii="Arial" w:hAnsi="Arial" w:cs="Arial"/>
          <w:b/>
          <w:i/>
          <w:color w:val="auto"/>
        </w:rPr>
      </w:pPr>
      <w:r w:rsidRPr="00AB2198">
        <w:rPr>
          <w:rStyle w:val="SubtleEmphasis"/>
          <w:rFonts w:ascii="Arial" w:hAnsi="Arial" w:cs="Arial"/>
          <w:b/>
          <w:color w:val="auto"/>
        </w:rPr>
        <w:t>Workplace Emergency Response Information</w:t>
      </w:r>
    </w:p>
    <w:tbl>
      <w:tblPr>
        <w:tblStyle w:val="TableGrid"/>
        <w:tblW w:w="0" w:type="auto"/>
        <w:tblLook w:val="04A0" w:firstRow="1" w:lastRow="0" w:firstColumn="1" w:lastColumn="0" w:noHBand="0" w:noVBand="1"/>
        <w:tblCaption w:val="Workplace Emergency Response Information "/>
        <w:tblDescription w:val="AODA Referenced Section is 27 of the Employment Standard. Deadline for compliance was January 1, 2012. Trent is in compliance. Departmental Champion is the Centre for Human Rights, Equity and Accessibility. Action is required. See action list below table. "/>
      </w:tblPr>
      <w:tblGrid>
        <w:gridCol w:w="4683"/>
        <w:gridCol w:w="4667"/>
      </w:tblGrid>
      <w:tr w:rsidR="009D4154" w14:paraId="14846CCF" w14:textId="77777777" w:rsidTr="009D4154">
        <w:tc>
          <w:tcPr>
            <w:tcW w:w="5105" w:type="dxa"/>
          </w:tcPr>
          <w:p w14:paraId="25ACBA54" w14:textId="77777777" w:rsidR="009D4154" w:rsidRDefault="009D4154" w:rsidP="00B1069D">
            <w:pPr>
              <w:rPr>
                <w:b/>
              </w:rPr>
            </w:pPr>
            <w:r>
              <w:rPr>
                <w:b/>
              </w:rPr>
              <w:t xml:space="preserve">AODA Reference: </w:t>
            </w:r>
          </w:p>
        </w:tc>
        <w:tc>
          <w:tcPr>
            <w:tcW w:w="5105" w:type="dxa"/>
          </w:tcPr>
          <w:p w14:paraId="6E74DE63" w14:textId="77777777" w:rsidR="009D4154" w:rsidRPr="009D4154" w:rsidRDefault="009D4154" w:rsidP="00B1069D">
            <w:bookmarkStart w:id="67" w:name="IASR27"/>
            <w:r>
              <w:t>IASR s.27 - Employment</w:t>
            </w:r>
            <w:bookmarkEnd w:id="67"/>
          </w:p>
        </w:tc>
      </w:tr>
      <w:tr w:rsidR="009D4154" w14:paraId="51A6DAA7" w14:textId="77777777" w:rsidTr="009D4154">
        <w:tc>
          <w:tcPr>
            <w:tcW w:w="5105" w:type="dxa"/>
          </w:tcPr>
          <w:p w14:paraId="374F09F5" w14:textId="77777777" w:rsidR="009D4154" w:rsidRDefault="009D4154" w:rsidP="00B1069D">
            <w:pPr>
              <w:rPr>
                <w:b/>
              </w:rPr>
            </w:pPr>
            <w:r>
              <w:rPr>
                <w:b/>
              </w:rPr>
              <w:t>Deadline and Status:</w:t>
            </w:r>
          </w:p>
        </w:tc>
        <w:tc>
          <w:tcPr>
            <w:tcW w:w="5105" w:type="dxa"/>
          </w:tcPr>
          <w:p w14:paraId="6E3DBDCA" w14:textId="77777777" w:rsidR="009D4154" w:rsidRPr="009D4154" w:rsidRDefault="00B47ECE" w:rsidP="00B1069D">
            <w:r>
              <w:t>January 1, 2012</w:t>
            </w:r>
            <w:r w:rsidR="009D4154">
              <w:t xml:space="preserve"> - Compliant</w:t>
            </w:r>
          </w:p>
        </w:tc>
      </w:tr>
      <w:tr w:rsidR="009D4154" w14:paraId="0772287D" w14:textId="77777777" w:rsidTr="009D4154">
        <w:tc>
          <w:tcPr>
            <w:tcW w:w="5105" w:type="dxa"/>
          </w:tcPr>
          <w:p w14:paraId="091F24A5" w14:textId="77777777" w:rsidR="009D4154" w:rsidRDefault="009D4154" w:rsidP="00B1069D">
            <w:pPr>
              <w:rPr>
                <w:b/>
              </w:rPr>
            </w:pPr>
            <w:r>
              <w:rPr>
                <w:b/>
              </w:rPr>
              <w:t>Departmental Champions:</w:t>
            </w:r>
          </w:p>
        </w:tc>
        <w:tc>
          <w:tcPr>
            <w:tcW w:w="5105" w:type="dxa"/>
          </w:tcPr>
          <w:p w14:paraId="0ACD779B" w14:textId="77777777" w:rsidR="009D4154" w:rsidRPr="009D4154" w:rsidRDefault="009D4154" w:rsidP="00B1069D">
            <w:r>
              <w:t xml:space="preserve">Centre for Human Rights, Equity and Accessibility </w:t>
            </w:r>
          </w:p>
        </w:tc>
      </w:tr>
      <w:tr w:rsidR="009D4154" w14:paraId="27BECEB7" w14:textId="77777777" w:rsidTr="009D4154">
        <w:tc>
          <w:tcPr>
            <w:tcW w:w="5105" w:type="dxa"/>
          </w:tcPr>
          <w:p w14:paraId="4187F935" w14:textId="77777777" w:rsidR="009D4154" w:rsidRDefault="009D4154" w:rsidP="00B1069D">
            <w:pPr>
              <w:rPr>
                <w:b/>
              </w:rPr>
            </w:pPr>
            <w:r>
              <w:rPr>
                <w:b/>
              </w:rPr>
              <w:t xml:space="preserve">Action Required: </w:t>
            </w:r>
          </w:p>
        </w:tc>
        <w:tc>
          <w:tcPr>
            <w:tcW w:w="5105" w:type="dxa"/>
          </w:tcPr>
          <w:p w14:paraId="18705021" w14:textId="77777777" w:rsidR="009D4154" w:rsidRPr="009D4154" w:rsidRDefault="009D4154" w:rsidP="00B1069D">
            <w:r w:rsidRPr="009D4154">
              <w:t>Yes – see actions below</w:t>
            </w:r>
          </w:p>
        </w:tc>
      </w:tr>
    </w:tbl>
    <w:p w14:paraId="5E0D1C51" w14:textId="63CEE12C" w:rsidR="009D4154" w:rsidRDefault="00F4020E" w:rsidP="00B1069D">
      <w:hyperlink w:anchor="chartiasr27" w:history="1">
        <w:r w:rsidR="00710459" w:rsidRPr="004B00F3">
          <w:rPr>
            <w:rStyle w:val="Hyperlink"/>
          </w:rPr>
          <w:t>Section 27</w:t>
        </w:r>
      </w:hyperlink>
      <w:r w:rsidR="00710459">
        <w:t xml:space="preserve"> requires Trent University</w:t>
      </w:r>
      <w:r w:rsidR="009D4154">
        <w:t xml:space="preserve"> to provide workplace emergency response information to persons with disabilities who may require assistance during emergencies. Trent has developed a form for Individualized Emergency Response Plans </w:t>
      </w:r>
      <w:r w:rsidR="00903647">
        <w:t>that</w:t>
      </w:r>
      <w:r w:rsidR="00855216">
        <w:t xml:space="preserve"> </w:t>
      </w:r>
      <w:r w:rsidR="009D4154">
        <w:t>when comple</w:t>
      </w:r>
      <w:r w:rsidR="00710459">
        <w:t>ted</w:t>
      </w:r>
      <w:r w:rsidR="000A1F7E">
        <w:t xml:space="preserve"> are</w:t>
      </w:r>
      <w:r w:rsidR="009D4154">
        <w:t xml:space="preserve"> kept</w:t>
      </w:r>
      <w:r w:rsidR="00710459">
        <w:t xml:space="preserve"> on file in Risk Management so these</w:t>
      </w:r>
      <w:r w:rsidR="009D4154">
        <w:t xml:space="preserve"> may be accessed in emergency situations. As outlined in the original multi-year accessibility plan (2012-2017) the Centre for Human Rights, Equity and Accessibility offers support to managers and employees in completing these forms and advises of this requirement for employees at least annually, if not more frequently. </w:t>
      </w:r>
    </w:p>
    <w:p w14:paraId="38044776" w14:textId="77777777" w:rsidR="009D4154" w:rsidRDefault="009D4154" w:rsidP="00B1069D">
      <w:r>
        <w:t xml:space="preserve">Trent will take the following actions to meet this requirement: </w:t>
      </w:r>
    </w:p>
    <w:p w14:paraId="17365342" w14:textId="77777777" w:rsidR="009D4154" w:rsidRDefault="009D4154" w:rsidP="009D4154">
      <w:pPr>
        <w:pStyle w:val="ListParagraph"/>
        <w:numPr>
          <w:ilvl w:val="0"/>
          <w:numId w:val="43"/>
        </w:numPr>
      </w:pPr>
      <w:r>
        <w:t>Update form as required by evolving</w:t>
      </w:r>
      <w:r w:rsidR="00710459">
        <w:t xml:space="preserve"> best practice knowledge.</w:t>
      </w:r>
    </w:p>
    <w:p w14:paraId="1A24D934" w14:textId="77777777" w:rsidR="009D4154" w:rsidRPr="009D4154" w:rsidRDefault="009D4154" w:rsidP="00903647">
      <w:pPr>
        <w:pStyle w:val="ListParagraph"/>
        <w:numPr>
          <w:ilvl w:val="0"/>
          <w:numId w:val="43"/>
        </w:numPr>
        <w:spacing w:after="100" w:afterAutospacing="1"/>
      </w:pPr>
      <w:r>
        <w:t>Advise employees, at least annuall</w:t>
      </w:r>
      <w:r w:rsidR="00CD2B69">
        <w:t xml:space="preserve">y, of this requirement and Trent’s strategies for meeting this requirement. </w:t>
      </w:r>
      <w:r>
        <w:t xml:space="preserve"> </w:t>
      </w:r>
    </w:p>
    <w:p w14:paraId="12AD6BA5" w14:textId="77777777" w:rsidR="009D4154" w:rsidRPr="00AB2198" w:rsidRDefault="00CD2B69" w:rsidP="00AB2198">
      <w:pPr>
        <w:pStyle w:val="Heading4"/>
        <w:rPr>
          <w:rStyle w:val="SubtleEmphasis"/>
          <w:rFonts w:ascii="Arial" w:hAnsi="Arial" w:cs="Arial"/>
          <w:b/>
          <w:i/>
          <w:color w:val="auto"/>
        </w:rPr>
      </w:pPr>
      <w:r w:rsidRPr="00AB2198">
        <w:rPr>
          <w:rStyle w:val="SubtleEmphasis"/>
          <w:rFonts w:ascii="Arial" w:hAnsi="Arial" w:cs="Arial"/>
          <w:b/>
          <w:color w:val="auto"/>
        </w:rPr>
        <w:t>Documented Individual Accommodation Plans</w:t>
      </w:r>
    </w:p>
    <w:tbl>
      <w:tblPr>
        <w:tblStyle w:val="TableGrid"/>
        <w:tblW w:w="0" w:type="auto"/>
        <w:tblLook w:val="04A0" w:firstRow="1" w:lastRow="0" w:firstColumn="1" w:lastColumn="0" w:noHBand="0" w:noVBand="1"/>
        <w:tblCaption w:val="Documented Individual Accommodation Plans "/>
        <w:tblDescription w:val="AODA Referenced Section is 28 of the Employment Standard. Deadline for compliance with this requirement was January 1, 2014. Trent is in compliance. Departmental Champion is Human Resources. No action is required. "/>
      </w:tblPr>
      <w:tblGrid>
        <w:gridCol w:w="4683"/>
        <w:gridCol w:w="4667"/>
      </w:tblGrid>
      <w:tr w:rsidR="00CD2B69" w14:paraId="67C0CE21" w14:textId="77777777" w:rsidTr="00CD2B69">
        <w:tc>
          <w:tcPr>
            <w:tcW w:w="5105" w:type="dxa"/>
          </w:tcPr>
          <w:p w14:paraId="220764EC" w14:textId="77777777" w:rsidR="00CD2B69" w:rsidRDefault="00CD2B69" w:rsidP="00B1069D">
            <w:pPr>
              <w:rPr>
                <w:b/>
              </w:rPr>
            </w:pPr>
            <w:r>
              <w:rPr>
                <w:b/>
              </w:rPr>
              <w:t>AODA Reference:</w:t>
            </w:r>
          </w:p>
        </w:tc>
        <w:tc>
          <w:tcPr>
            <w:tcW w:w="5105" w:type="dxa"/>
          </w:tcPr>
          <w:p w14:paraId="10B76C42" w14:textId="77777777" w:rsidR="00CD2B69" w:rsidRPr="00CD2B69" w:rsidRDefault="00CD2B69" w:rsidP="00B1069D">
            <w:bookmarkStart w:id="68" w:name="IASR28"/>
            <w:r>
              <w:t>IASR s.28 - Employment</w:t>
            </w:r>
            <w:bookmarkEnd w:id="68"/>
          </w:p>
        </w:tc>
      </w:tr>
      <w:tr w:rsidR="00CD2B69" w14:paraId="5095BE78" w14:textId="77777777" w:rsidTr="00CD2B69">
        <w:tc>
          <w:tcPr>
            <w:tcW w:w="5105" w:type="dxa"/>
          </w:tcPr>
          <w:p w14:paraId="6AB0C3FE" w14:textId="77777777" w:rsidR="00CD2B69" w:rsidRDefault="00CD2B69" w:rsidP="00B1069D">
            <w:pPr>
              <w:rPr>
                <w:b/>
              </w:rPr>
            </w:pPr>
            <w:r>
              <w:rPr>
                <w:b/>
              </w:rPr>
              <w:t>Deadline and Status:</w:t>
            </w:r>
          </w:p>
        </w:tc>
        <w:tc>
          <w:tcPr>
            <w:tcW w:w="5105" w:type="dxa"/>
          </w:tcPr>
          <w:p w14:paraId="1A5BD8B8" w14:textId="77777777" w:rsidR="00CD2B69" w:rsidRPr="00CD2B69" w:rsidRDefault="00CD2B69" w:rsidP="00B1069D">
            <w:r>
              <w:t>January 1, 2014 - Compliant</w:t>
            </w:r>
          </w:p>
        </w:tc>
      </w:tr>
      <w:tr w:rsidR="00CD2B69" w14:paraId="21F8A39C" w14:textId="77777777" w:rsidTr="00CD2B69">
        <w:tc>
          <w:tcPr>
            <w:tcW w:w="5105" w:type="dxa"/>
          </w:tcPr>
          <w:p w14:paraId="1BB8E134" w14:textId="77777777" w:rsidR="00CD2B69" w:rsidRDefault="00CD2B69" w:rsidP="00B1069D">
            <w:pPr>
              <w:rPr>
                <w:b/>
              </w:rPr>
            </w:pPr>
            <w:r>
              <w:rPr>
                <w:b/>
              </w:rPr>
              <w:t>Departmental Champions:</w:t>
            </w:r>
          </w:p>
        </w:tc>
        <w:tc>
          <w:tcPr>
            <w:tcW w:w="5105" w:type="dxa"/>
          </w:tcPr>
          <w:p w14:paraId="1EA4590A" w14:textId="77777777" w:rsidR="00CD2B69" w:rsidRPr="00CD2B69" w:rsidRDefault="00CD2B69" w:rsidP="00B1069D">
            <w:r>
              <w:t>Human Resources</w:t>
            </w:r>
          </w:p>
        </w:tc>
      </w:tr>
      <w:tr w:rsidR="00CD2B69" w14:paraId="63D8BE8F" w14:textId="77777777" w:rsidTr="00CD2B69">
        <w:tc>
          <w:tcPr>
            <w:tcW w:w="5105" w:type="dxa"/>
          </w:tcPr>
          <w:p w14:paraId="5AA95C61" w14:textId="77777777" w:rsidR="00CD2B69" w:rsidRDefault="00CD2B69" w:rsidP="00B1069D">
            <w:pPr>
              <w:rPr>
                <w:b/>
              </w:rPr>
            </w:pPr>
            <w:r>
              <w:rPr>
                <w:b/>
              </w:rPr>
              <w:t>Action Required:</w:t>
            </w:r>
          </w:p>
        </w:tc>
        <w:tc>
          <w:tcPr>
            <w:tcW w:w="5105" w:type="dxa"/>
          </w:tcPr>
          <w:p w14:paraId="2E49E4BC" w14:textId="77777777" w:rsidR="00CD2B69" w:rsidRPr="00CD2B69" w:rsidRDefault="00CD2B69" w:rsidP="00B1069D">
            <w:r>
              <w:t>None</w:t>
            </w:r>
          </w:p>
        </w:tc>
      </w:tr>
    </w:tbl>
    <w:p w14:paraId="0D1371FB" w14:textId="77777777" w:rsidR="00CD2B69" w:rsidRDefault="00F4020E" w:rsidP="00903647">
      <w:pPr>
        <w:spacing w:after="100" w:afterAutospacing="1"/>
      </w:pPr>
      <w:hyperlink w:anchor="chartiasr28" w:history="1">
        <w:r w:rsidR="00A541E6" w:rsidRPr="004B00F3">
          <w:rPr>
            <w:rStyle w:val="Hyperlink"/>
          </w:rPr>
          <w:t>Section 28</w:t>
        </w:r>
      </w:hyperlink>
      <w:r w:rsidR="00A541E6">
        <w:t xml:space="preserve"> requires Trent University</w:t>
      </w:r>
      <w:r w:rsidR="00CD2B69">
        <w:t xml:space="preserve"> to provide documented individualized accommodation plans </w:t>
      </w:r>
      <w:r w:rsidR="0024175E">
        <w:t>for</w:t>
      </w:r>
      <w:r w:rsidR="00CD2B69">
        <w:t xml:space="preserve"> employees with disabilities. Trent provides these plans through employee consultation with Human Resources. Plans are developed with key stakeholders including the employee with the disability and contains prescribed elements as outlined in this requirement. </w:t>
      </w:r>
    </w:p>
    <w:p w14:paraId="3E087197" w14:textId="77777777" w:rsidR="00CD2B69" w:rsidRPr="00AB2198" w:rsidRDefault="00CD2B69" w:rsidP="00AB2198">
      <w:pPr>
        <w:pStyle w:val="Heading4"/>
        <w:rPr>
          <w:rStyle w:val="SubtleEmphasis"/>
          <w:rFonts w:ascii="Arial" w:hAnsi="Arial" w:cs="Arial"/>
          <w:b/>
          <w:i/>
        </w:rPr>
      </w:pPr>
      <w:r w:rsidRPr="00AB2198">
        <w:rPr>
          <w:rStyle w:val="SubtleEmphasis"/>
          <w:rFonts w:ascii="Arial" w:hAnsi="Arial" w:cs="Arial"/>
          <w:b/>
          <w:color w:val="auto"/>
        </w:rPr>
        <w:t>Return to Work Process</w:t>
      </w:r>
    </w:p>
    <w:tbl>
      <w:tblPr>
        <w:tblStyle w:val="TableGrid"/>
        <w:tblW w:w="0" w:type="auto"/>
        <w:tblLook w:val="04A0" w:firstRow="1" w:lastRow="0" w:firstColumn="1" w:lastColumn="0" w:noHBand="0" w:noVBand="1"/>
        <w:tblCaption w:val="Return to Work Process"/>
        <w:tblDescription w:val="AODA Referenced Section is 29 of the Employment Standard. Deadline for compliance was January 1, 2014. Trent is in compliance. Departmental Champion is Human Resources. No action is required."/>
      </w:tblPr>
      <w:tblGrid>
        <w:gridCol w:w="4683"/>
        <w:gridCol w:w="4667"/>
      </w:tblGrid>
      <w:tr w:rsidR="00CD2B69" w14:paraId="21196DD7" w14:textId="77777777" w:rsidTr="00CD2B69">
        <w:tc>
          <w:tcPr>
            <w:tcW w:w="5105" w:type="dxa"/>
          </w:tcPr>
          <w:p w14:paraId="64FA8BAA" w14:textId="77777777" w:rsidR="00CD2B69" w:rsidRDefault="00CD2B69" w:rsidP="00B1069D">
            <w:pPr>
              <w:rPr>
                <w:b/>
              </w:rPr>
            </w:pPr>
            <w:r>
              <w:rPr>
                <w:b/>
              </w:rPr>
              <w:t>AODA Reference:</w:t>
            </w:r>
          </w:p>
        </w:tc>
        <w:tc>
          <w:tcPr>
            <w:tcW w:w="5105" w:type="dxa"/>
          </w:tcPr>
          <w:p w14:paraId="7ACCE27A" w14:textId="77777777" w:rsidR="00CD2B69" w:rsidRPr="00CD2B69" w:rsidRDefault="00CD2B69" w:rsidP="00B1069D">
            <w:bookmarkStart w:id="69" w:name="IASR29"/>
            <w:r>
              <w:t>IASR s.29</w:t>
            </w:r>
            <w:r w:rsidR="00685ADC">
              <w:t xml:space="preserve"> - Employment</w:t>
            </w:r>
            <w:bookmarkEnd w:id="69"/>
          </w:p>
        </w:tc>
      </w:tr>
      <w:tr w:rsidR="00CD2B69" w14:paraId="1BA6FA9E" w14:textId="77777777" w:rsidTr="00CD2B69">
        <w:tc>
          <w:tcPr>
            <w:tcW w:w="5105" w:type="dxa"/>
          </w:tcPr>
          <w:p w14:paraId="67978CF9" w14:textId="77777777" w:rsidR="00CD2B69" w:rsidRDefault="00CD2B69" w:rsidP="00B1069D">
            <w:pPr>
              <w:rPr>
                <w:b/>
              </w:rPr>
            </w:pPr>
            <w:r>
              <w:rPr>
                <w:b/>
              </w:rPr>
              <w:t>Deadline and Status:</w:t>
            </w:r>
          </w:p>
        </w:tc>
        <w:tc>
          <w:tcPr>
            <w:tcW w:w="5105" w:type="dxa"/>
          </w:tcPr>
          <w:p w14:paraId="3C080B51" w14:textId="77777777" w:rsidR="00CD2B69" w:rsidRPr="00CD2B69" w:rsidRDefault="00CD2B69" w:rsidP="00B1069D">
            <w:r>
              <w:t>January 1, 2014 - Compliant</w:t>
            </w:r>
          </w:p>
        </w:tc>
      </w:tr>
      <w:tr w:rsidR="00CD2B69" w14:paraId="2902648B" w14:textId="77777777" w:rsidTr="00CD2B69">
        <w:tc>
          <w:tcPr>
            <w:tcW w:w="5105" w:type="dxa"/>
          </w:tcPr>
          <w:p w14:paraId="6FE95138" w14:textId="77777777" w:rsidR="00CD2B69" w:rsidRDefault="00CD2B69" w:rsidP="00B1069D">
            <w:pPr>
              <w:rPr>
                <w:b/>
              </w:rPr>
            </w:pPr>
            <w:r>
              <w:rPr>
                <w:b/>
              </w:rPr>
              <w:t>Departmental Champions:</w:t>
            </w:r>
          </w:p>
        </w:tc>
        <w:tc>
          <w:tcPr>
            <w:tcW w:w="5105" w:type="dxa"/>
          </w:tcPr>
          <w:p w14:paraId="64DDB8AB" w14:textId="77777777" w:rsidR="00CD2B69" w:rsidRPr="00CD2B69" w:rsidRDefault="00CD2B69" w:rsidP="00B1069D">
            <w:r>
              <w:t>Human Resources</w:t>
            </w:r>
          </w:p>
        </w:tc>
      </w:tr>
      <w:tr w:rsidR="00CD2B69" w14:paraId="3AF0B7B1" w14:textId="77777777" w:rsidTr="00CD2B69">
        <w:tc>
          <w:tcPr>
            <w:tcW w:w="5105" w:type="dxa"/>
          </w:tcPr>
          <w:p w14:paraId="5BD7FBF7" w14:textId="77777777" w:rsidR="00CD2B69" w:rsidRDefault="00CD2B69" w:rsidP="00B1069D">
            <w:pPr>
              <w:rPr>
                <w:b/>
              </w:rPr>
            </w:pPr>
            <w:r>
              <w:rPr>
                <w:b/>
              </w:rPr>
              <w:t>Action Required:</w:t>
            </w:r>
          </w:p>
        </w:tc>
        <w:tc>
          <w:tcPr>
            <w:tcW w:w="5105" w:type="dxa"/>
          </w:tcPr>
          <w:p w14:paraId="07EA19E9" w14:textId="77777777" w:rsidR="00CD2B69" w:rsidRPr="00CD2B69" w:rsidRDefault="00CD2B69" w:rsidP="00B1069D">
            <w:r>
              <w:t>None</w:t>
            </w:r>
          </w:p>
        </w:tc>
      </w:tr>
    </w:tbl>
    <w:p w14:paraId="3FC3D60C" w14:textId="77777777" w:rsidR="00CD2B69" w:rsidRDefault="00F4020E" w:rsidP="00903647">
      <w:pPr>
        <w:spacing w:after="100" w:afterAutospacing="1"/>
      </w:pPr>
      <w:hyperlink w:anchor="chartiasr29" w:history="1">
        <w:r w:rsidR="00A541E6" w:rsidRPr="004B00F3">
          <w:rPr>
            <w:rStyle w:val="Hyperlink"/>
          </w:rPr>
          <w:t>Section 29</w:t>
        </w:r>
      </w:hyperlink>
      <w:r w:rsidR="00A541E6">
        <w:t xml:space="preserve"> requires Trent University</w:t>
      </w:r>
      <w:r w:rsidR="00A719C4" w:rsidRPr="00A719C4">
        <w:t xml:space="preserve"> to have a documented Return </w:t>
      </w:r>
      <w:r w:rsidR="00DC122B" w:rsidRPr="00A719C4">
        <w:t>to</w:t>
      </w:r>
      <w:r w:rsidR="00A719C4" w:rsidRPr="00A719C4">
        <w:t xml:space="preserve"> Work (RTW) process for employees who were absent due to disability related reasons and may require support when returning to work. Trent has documented RTW procedures and accommodations are documented in the employee’s individualized accommodation plan, as discussed above. </w:t>
      </w:r>
    </w:p>
    <w:p w14:paraId="56F74E8B" w14:textId="77777777" w:rsidR="00A719C4" w:rsidRPr="00AB2198" w:rsidRDefault="007355E2" w:rsidP="00AB2198">
      <w:pPr>
        <w:pStyle w:val="Heading4"/>
        <w:rPr>
          <w:rStyle w:val="SubtleEmphasis"/>
          <w:rFonts w:ascii="Arial" w:hAnsi="Arial" w:cs="Arial"/>
          <w:b/>
          <w:i/>
          <w:color w:val="auto"/>
        </w:rPr>
      </w:pPr>
      <w:r w:rsidRPr="00AB2198">
        <w:rPr>
          <w:rStyle w:val="SubtleEmphasis"/>
          <w:rFonts w:ascii="Arial" w:hAnsi="Arial" w:cs="Arial"/>
          <w:b/>
          <w:color w:val="auto"/>
        </w:rPr>
        <w:t xml:space="preserve">Performance Management </w:t>
      </w:r>
    </w:p>
    <w:tbl>
      <w:tblPr>
        <w:tblStyle w:val="TableGrid"/>
        <w:tblW w:w="0" w:type="auto"/>
        <w:tblLook w:val="04A0" w:firstRow="1" w:lastRow="0" w:firstColumn="1" w:lastColumn="0" w:noHBand="0" w:noVBand="1"/>
        <w:tblCaption w:val="Performance Management"/>
        <w:tblDescription w:val="AODA Referenced Section is 30 of the Employment Standard. Deadline for compliance was January 1, 2014. Trent is in compliance. Departmental Champion is Human Resources. No action is required. "/>
      </w:tblPr>
      <w:tblGrid>
        <w:gridCol w:w="4664"/>
        <w:gridCol w:w="4686"/>
      </w:tblGrid>
      <w:tr w:rsidR="00B47ECE" w14:paraId="102C7E00" w14:textId="77777777" w:rsidTr="00CF5D94">
        <w:tc>
          <w:tcPr>
            <w:tcW w:w="4664" w:type="dxa"/>
          </w:tcPr>
          <w:p w14:paraId="688D0F92" w14:textId="77777777" w:rsidR="00B47ECE" w:rsidRDefault="00B47ECE" w:rsidP="00B1069D">
            <w:pPr>
              <w:rPr>
                <w:b/>
              </w:rPr>
            </w:pPr>
            <w:r>
              <w:rPr>
                <w:b/>
              </w:rPr>
              <w:t xml:space="preserve">AODA Reference: </w:t>
            </w:r>
          </w:p>
        </w:tc>
        <w:tc>
          <w:tcPr>
            <w:tcW w:w="4686" w:type="dxa"/>
          </w:tcPr>
          <w:p w14:paraId="069B5585" w14:textId="77777777" w:rsidR="00B47ECE" w:rsidRPr="00B47ECE" w:rsidRDefault="00B47ECE" w:rsidP="00B1069D">
            <w:bookmarkStart w:id="70" w:name="IASR30"/>
            <w:r w:rsidRPr="00B47ECE">
              <w:t>IASR s.30 - Employment</w:t>
            </w:r>
            <w:bookmarkEnd w:id="70"/>
          </w:p>
        </w:tc>
      </w:tr>
      <w:tr w:rsidR="00B47ECE" w14:paraId="6B775496" w14:textId="77777777" w:rsidTr="00CF5D94">
        <w:tc>
          <w:tcPr>
            <w:tcW w:w="4664" w:type="dxa"/>
          </w:tcPr>
          <w:p w14:paraId="15EA7FB3" w14:textId="77777777" w:rsidR="00B47ECE" w:rsidRDefault="00B47ECE" w:rsidP="00B1069D">
            <w:pPr>
              <w:rPr>
                <w:b/>
              </w:rPr>
            </w:pPr>
            <w:r>
              <w:rPr>
                <w:b/>
              </w:rPr>
              <w:t>Deadline and Status:</w:t>
            </w:r>
          </w:p>
        </w:tc>
        <w:tc>
          <w:tcPr>
            <w:tcW w:w="4686" w:type="dxa"/>
          </w:tcPr>
          <w:p w14:paraId="6031A442" w14:textId="77777777" w:rsidR="00B47ECE" w:rsidRPr="00B47ECE" w:rsidRDefault="003A31A6" w:rsidP="00B1069D">
            <w:r>
              <w:t xml:space="preserve">January 1, 2014 - Compliant </w:t>
            </w:r>
          </w:p>
        </w:tc>
      </w:tr>
      <w:tr w:rsidR="00B47ECE" w14:paraId="5CBA940E" w14:textId="77777777" w:rsidTr="00CF5D94">
        <w:tc>
          <w:tcPr>
            <w:tcW w:w="4664" w:type="dxa"/>
          </w:tcPr>
          <w:p w14:paraId="5BF4EBD0" w14:textId="77777777" w:rsidR="00B47ECE" w:rsidRDefault="00B47ECE" w:rsidP="00B1069D">
            <w:pPr>
              <w:rPr>
                <w:b/>
              </w:rPr>
            </w:pPr>
            <w:r>
              <w:rPr>
                <w:b/>
              </w:rPr>
              <w:t>Departmental Champions:</w:t>
            </w:r>
          </w:p>
        </w:tc>
        <w:tc>
          <w:tcPr>
            <w:tcW w:w="4686" w:type="dxa"/>
          </w:tcPr>
          <w:p w14:paraId="5E076500" w14:textId="77777777" w:rsidR="00B47ECE" w:rsidRPr="00B47ECE" w:rsidRDefault="00B47ECE" w:rsidP="00B1069D">
            <w:r>
              <w:t>Human Resources</w:t>
            </w:r>
          </w:p>
        </w:tc>
      </w:tr>
      <w:tr w:rsidR="00B47ECE" w14:paraId="7B2972BD" w14:textId="77777777" w:rsidTr="00CF5D94">
        <w:tc>
          <w:tcPr>
            <w:tcW w:w="4664" w:type="dxa"/>
          </w:tcPr>
          <w:p w14:paraId="7CCEBBDE" w14:textId="77777777" w:rsidR="00B47ECE" w:rsidRDefault="00B47ECE" w:rsidP="00B1069D">
            <w:pPr>
              <w:rPr>
                <w:b/>
              </w:rPr>
            </w:pPr>
            <w:r>
              <w:rPr>
                <w:b/>
              </w:rPr>
              <w:t>Action Required:</w:t>
            </w:r>
          </w:p>
        </w:tc>
        <w:tc>
          <w:tcPr>
            <w:tcW w:w="4686" w:type="dxa"/>
          </w:tcPr>
          <w:p w14:paraId="220A2B3C" w14:textId="36EC472A" w:rsidR="00B47ECE" w:rsidRDefault="00855216" w:rsidP="00B1069D">
            <w:pPr>
              <w:rPr>
                <w:b/>
              </w:rPr>
            </w:pPr>
            <w:r>
              <w:t>None</w:t>
            </w:r>
          </w:p>
        </w:tc>
      </w:tr>
    </w:tbl>
    <w:p w14:paraId="0023A39E" w14:textId="77777777" w:rsidR="007C19E0" w:rsidRPr="004B00F3" w:rsidRDefault="00F4020E" w:rsidP="00903647">
      <w:pPr>
        <w:spacing w:after="100" w:afterAutospacing="1"/>
      </w:pPr>
      <w:hyperlink w:anchor="chartiasr30" w:history="1">
        <w:r w:rsidR="007C19E0" w:rsidRPr="004B00F3">
          <w:rPr>
            <w:rStyle w:val="Hyperlink"/>
          </w:rPr>
          <w:t>Section 30</w:t>
        </w:r>
      </w:hyperlink>
      <w:r w:rsidR="007C19E0" w:rsidRPr="004B00F3">
        <w:t xml:space="preserve"> requires Trent University to take into account accessibility needs including any individual accommodation plans of employees with disabilities when using performance management systems. Trent currently ensures that employees have accessibility needs taken into account during these processes.  As Human Resources redevelops this system there will be continued emphasis placed on creating a system which meets the needs of employees with disabilities. </w:t>
      </w:r>
    </w:p>
    <w:p w14:paraId="724887B0" w14:textId="77777777" w:rsidR="007355E2" w:rsidRPr="00AB2198" w:rsidRDefault="00B47ECE" w:rsidP="00AB2198">
      <w:pPr>
        <w:pStyle w:val="Heading4"/>
        <w:rPr>
          <w:rFonts w:ascii="Arial" w:hAnsi="Arial" w:cs="Arial"/>
          <w:b/>
          <w:i w:val="0"/>
          <w:color w:val="auto"/>
        </w:rPr>
      </w:pPr>
      <w:r w:rsidRPr="00AB2198">
        <w:rPr>
          <w:rFonts w:ascii="Arial" w:hAnsi="Arial" w:cs="Arial"/>
          <w:b/>
          <w:i w:val="0"/>
          <w:color w:val="auto"/>
        </w:rPr>
        <w:t>Career Development</w:t>
      </w:r>
    </w:p>
    <w:tbl>
      <w:tblPr>
        <w:tblStyle w:val="TableGrid"/>
        <w:tblW w:w="0" w:type="auto"/>
        <w:tblLook w:val="04A0" w:firstRow="1" w:lastRow="0" w:firstColumn="1" w:lastColumn="0" w:noHBand="0" w:noVBand="1"/>
        <w:tblCaption w:val="Career Development "/>
        <w:tblDescription w:val="AODA Referenced Section is 31 of the Employment Standard. Deadline for Compliance was January 1, 2014. Trent is in compliance. Departmental Champion is Human Resources. No action is required. "/>
      </w:tblPr>
      <w:tblGrid>
        <w:gridCol w:w="4683"/>
        <w:gridCol w:w="4667"/>
      </w:tblGrid>
      <w:tr w:rsidR="00B47ECE" w14:paraId="2FA36E59" w14:textId="77777777" w:rsidTr="00B47ECE">
        <w:tc>
          <w:tcPr>
            <w:tcW w:w="5105" w:type="dxa"/>
          </w:tcPr>
          <w:p w14:paraId="638A59FB" w14:textId="77777777" w:rsidR="00B47ECE" w:rsidRDefault="00B47ECE" w:rsidP="00B1069D">
            <w:pPr>
              <w:rPr>
                <w:b/>
              </w:rPr>
            </w:pPr>
            <w:r>
              <w:rPr>
                <w:b/>
              </w:rPr>
              <w:t>AODA Reference:</w:t>
            </w:r>
          </w:p>
        </w:tc>
        <w:tc>
          <w:tcPr>
            <w:tcW w:w="5105" w:type="dxa"/>
          </w:tcPr>
          <w:p w14:paraId="4DAAE1C0" w14:textId="77777777" w:rsidR="00B47ECE" w:rsidRPr="00B47ECE" w:rsidRDefault="00B47ECE" w:rsidP="00B1069D">
            <w:bookmarkStart w:id="71" w:name="IASR31"/>
            <w:r w:rsidRPr="00B47ECE">
              <w:t>IASR s.31 - Employment</w:t>
            </w:r>
            <w:bookmarkEnd w:id="71"/>
          </w:p>
        </w:tc>
      </w:tr>
      <w:tr w:rsidR="00B47ECE" w14:paraId="56CF429B" w14:textId="77777777" w:rsidTr="00B47ECE">
        <w:tc>
          <w:tcPr>
            <w:tcW w:w="5105" w:type="dxa"/>
          </w:tcPr>
          <w:p w14:paraId="2BCD1FE1" w14:textId="77777777" w:rsidR="00B47ECE" w:rsidRDefault="002442AE" w:rsidP="00B1069D">
            <w:pPr>
              <w:rPr>
                <w:b/>
              </w:rPr>
            </w:pPr>
            <w:r>
              <w:rPr>
                <w:b/>
              </w:rPr>
              <w:t>Deadline</w:t>
            </w:r>
            <w:r w:rsidR="00B47ECE">
              <w:rPr>
                <w:b/>
              </w:rPr>
              <w:t xml:space="preserve"> and Status:</w:t>
            </w:r>
          </w:p>
        </w:tc>
        <w:tc>
          <w:tcPr>
            <w:tcW w:w="5105" w:type="dxa"/>
          </w:tcPr>
          <w:p w14:paraId="774CC284" w14:textId="77777777" w:rsidR="00B47ECE" w:rsidRPr="00B47ECE" w:rsidRDefault="00B47ECE" w:rsidP="00B1069D">
            <w:r w:rsidRPr="00B47ECE">
              <w:t>January 1, 2014 - Compliant</w:t>
            </w:r>
          </w:p>
        </w:tc>
      </w:tr>
      <w:tr w:rsidR="00B47ECE" w14:paraId="5CF1117D" w14:textId="77777777" w:rsidTr="00B47ECE">
        <w:tc>
          <w:tcPr>
            <w:tcW w:w="5105" w:type="dxa"/>
          </w:tcPr>
          <w:p w14:paraId="683B0980" w14:textId="77777777" w:rsidR="00B47ECE" w:rsidRDefault="00B47ECE" w:rsidP="00B1069D">
            <w:pPr>
              <w:rPr>
                <w:b/>
              </w:rPr>
            </w:pPr>
            <w:r>
              <w:rPr>
                <w:b/>
              </w:rPr>
              <w:t>Departmental Champions:</w:t>
            </w:r>
          </w:p>
        </w:tc>
        <w:tc>
          <w:tcPr>
            <w:tcW w:w="5105" w:type="dxa"/>
          </w:tcPr>
          <w:p w14:paraId="3BE8617F" w14:textId="77777777" w:rsidR="00B47ECE" w:rsidRPr="00B47ECE" w:rsidRDefault="00B47ECE" w:rsidP="00B1069D">
            <w:r w:rsidRPr="00B47ECE">
              <w:t>Human Resources</w:t>
            </w:r>
          </w:p>
        </w:tc>
      </w:tr>
      <w:tr w:rsidR="00B47ECE" w14:paraId="757BC1FB" w14:textId="77777777" w:rsidTr="00B47ECE">
        <w:tc>
          <w:tcPr>
            <w:tcW w:w="5105" w:type="dxa"/>
          </w:tcPr>
          <w:p w14:paraId="2738C5C6" w14:textId="77777777" w:rsidR="00B47ECE" w:rsidRDefault="00B47ECE" w:rsidP="00B1069D">
            <w:pPr>
              <w:rPr>
                <w:b/>
              </w:rPr>
            </w:pPr>
            <w:r>
              <w:rPr>
                <w:b/>
              </w:rPr>
              <w:t>Action Required:</w:t>
            </w:r>
          </w:p>
        </w:tc>
        <w:tc>
          <w:tcPr>
            <w:tcW w:w="5105" w:type="dxa"/>
          </w:tcPr>
          <w:p w14:paraId="4807FCD8" w14:textId="77777777" w:rsidR="00B47ECE" w:rsidRPr="00B47ECE" w:rsidRDefault="00B47ECE" w:rsidP="00B1069D">
            <w:r>
              <w:t>None</w:t>
            </w:r>
          </w:p>
        </w:tc>
      </w:tr>
    </w:tbl>
    <w:p w14:paraId="27CDC062" w14:textId="77777777" w:rsidR="00B47ECE" w:rsidRDefault="00F4020E" w:rsidP="00903647">
      <w:pPr>
        <w:spacing w:after="100" w:afterAutospacing="1"/>
      </w:pPr>
      <w:hyperlink w:anchor="chartiasr31" w:history="1">
        <w:r w:rsidR="00A541E6" w:rsidRPr="004B00F3">
          <w:rPr>
            <w:rStyle w:val="Hyperlink"/>
          </w:rPr>
          <w:t>Section 31</w:t>
        </w:r>
      </w:hyperlink>
      <w:r w:rsidR="00A541E6">
        <w:t xml:space="preserve"> requires </w:t>
      </w:r>
      <w:r w:rsidR="00B47ECE">
        <w:t xml:space="preserve">Trent </w:t>
      </w:r>
      <w:r w:rsidR="00A541E6">
        <w:t xml:space="preserve">University </w:t>
      </w:r>
      <w:r w:rsidR="00B47ECE">
        <w:t xml:space="preserve">to incorporate accessibility into its career development practices and policies. Trent’s career development practices were reviewed for any barriers to accessibility and current policies and practices are accessible. </w:t>
      </w:r>
    </w:p>
    <w:p w14:paraId="1B5A2F5E" w14:textId="77777777" w:rsidR="00B47ECE" w:rsidRPr="00AB2198" w:rsidRDefault="00B47ECE" w:rsidP="00AB2198">
      <w:pPr>
        <w:pStyle w:val="Heading4"/>
        <w:rPr>
          <w:rStyle w:val="SubtleEmphasis"/>
          <w:rFonts w:ascii="Arial" w:hAnsi="Arial" w:cs="Arial"/>
          <w:b/>
          <w:i/>
          <w:color w:val="auto"/>
        </w:rPr>
      </w:pPr>
      <w:r w:rsidRPr="00AB2198">
        <w:rPr>
          <w:rStyle w:val="SubtleEmphasis"/>
          <w:rFonts w:ascii="Arial" w:hAnsi="Arial" w:cs="Arial"/>
          <w:b/>
          <w:color w:val="auto"/>
        </w:rPr>
        <w:t>Redeployment</w:t>
      </w:r>
    </w:p>
    <w:tbl>
      <w:tblPr>
        <w:tblStyle w:val="TableGrid"/>
        <w:tblW w:w="0" w:type="auto"/>
        <w:tblLook w:val="04A0" w:firstRow="1" w:lastRow="0" w:firstColumn="1" w:lastColumn="0" w:noHBand="0" w:noVBand="1"/>
        <w:tblCaption w:val="Redeployment"/>
        <w:tblDescription w:val="AODA Referenced Section is 32 of the Employment Standard. Deadline for Compliance was January 1, 2014. Trent is in compliance. Departmental Champion is Human Resources. No action is required. "/>
      </w:tblPr>
      <w:tblGrid>
        <w:gridCol w:w="4683"/>
        <w:gridCol w:w="4667"/>
      </w:tblGrid>
      <w:tr w:rsidR="00B47ECE" w14:paraId="40B6EC52" w14:textId="77777777" w:rsidTr="00B47ECE">
        <w:tc>
          <w:tcPr>
            <w:tcW w:w="5105" w:type="dxa"/>
          </w:tcPr>
          <w:p w14:paraId="6DD7F2BA" w14:textId="77777777" w:rsidR="00B47ECE" w:rsidRDefault="002442AE" w:rsidP="00B1069D">
            <w:pPr>
              <w:rPr>
                <w:b/>
              </w:rPr>
            </w:pPr>
            <w:r>
              <w:rPr>
                <w:b/>
              </w:rPr>
              <w:t xml:space="preserve">AODA Reference: </w:t>
            </w:r>
          </w:p>
        </w:tc>
        <w:tc>
          <w:tcPr>
            <w:tcW w:w="5105" w:type="dxa"/>
          </w:tcPr>
          <w:p w14:paraId="1087B1A6" w14:textId="77777777" w:rsidR="00B47ECE" w:rsidRPr="002442AE" w:rsidRDefault="002442AE" w:rsidP="00B1069D">
            <w:bookmarkStart w:id="72" w:name="IASR32"/>
            <w:r>
              <w:t>IASR s.32 - Employment</w:t>
            </w:r>
            <w:bookmarkEnd w:id="72"/>
          </w:p>
        </w:tc>
      </w:tr>
      <w:tr w:rsidR="00B47ECE" w14:paraId="1A1C1EBC" w14:textId="77777777" w:rsidTr="00B47ECE">
        <w:tc>
          <w:tcPr>
            <w:tcW w:w="5105" w:type="dxa"/>
          </w:tcPr>
          <w:p w14:paraId="4494D669" w14:textId="77777777" w:rsidR="00B47ECE" w:rsidRDefault="002442AE" w:rsidP="00B1069D">
            <w:pPr>
              <w:rPr>
                <w:b/>
              </w:rPr>
            </w:pPr>
            <w:r>
              <w:rPr>
                <w:b/>
              </w:rPr>
              <w:t>Deadline and Status:</w:t>
            </w:r>
          </w:p>
        </w:tc>
        <w:tc>
          <w:tcPr>
            <w:tcW w:w="5105" w:type="dxa"/>
          </w:tcPr>
          <w:p w14:paraId="1CF26512" w14:textId="77777777" w:rsidR="00B47ECE" w:rsidRPr="002442AE" w:rsidRDefault="002442AE" w:rsidP="00B1069D">
            <w:r>
              <w:t>January 1, 2014 - Compliant</w:t>
            </w:r>
          </w:p>
        </w:tc>
      </w:tr>
      <w:tr w:rsidR="00B47ECE" w14:paraId="46B51390" w14:textId="77777777" w:rsidTr="00B47ECE">
        <w:tc>
          <w:tcPr>
            <w:tcW w:w="5105" w:type="dxa"/>
          </w:tcPr>
          <w:p w14:paraId="43D3D8CE" w14:textId="77777777" w:rsidR="00B47ECE" w:rsidRDefault="002442AE" w:rsidP="00B1069D">
            <w:pPr>
              <w:rPr>
                <w:b/>
              </w:rPr>
            </w:pPr>
            <w:r>
              <w:rPr>
                <w:b/>
              </w:rPr>
              <w:t>Departmental Champions:</w:t>
            </w:r>
          </w:p>
        </w:tc>
        <w:tc>
          <w:tcPr>
            <w:tcW w:w="5105" w:type="dxa"/>
          </w:tcPr>
          <w:p w14:paraId="31312DC1" w14:textId="77777777" w:rsidR="00B47ECE" w:rsidRPr="002442AE" w:rsidRDefault="002442AE" w:rsidP="00B1069D">
            <w:r>
              <w:t>Human Resources</w:t>
            </w:r>
          </w:p>
        </w:tc>
      </w:tr>
      <w:tr w:rsidR="00B47ECE" w14:paraId="35B1D78C" w14:textId="77777777" w:rsidTr="00B47ECE">
        <w:tc>
          <w:tcPr>
            <w:tcW w:w="5105" w:type="dxa"/>
          </w:tcPr>
          <w:p w14:paraId="2BBC5BF9" w14:textId="77777777" w:rsidR="00B47ECE" w:rsidRDefault="002442AE" w:rsidP="00B1069D">
            <w:pPr>
              <w:rPr>
                <w:b/>
              </w:rPr>
            </w:pPr>
            <w:r>
              <w:rPr>
                <w:b/>
              </w:rPr>
              <w:t>Action Required:</w:t>
            </w:r>
          </w:p>
        </w:tc>
        <w:tc>
          <w:tcPr>
            <w:tcW w:w="5105" w:type="dxa"/>
          </w:tcPr>
          <w:p w14:paraId="74211F11" w14:textId="77777777" w:rsidR="00B47ECE" w:rsidRPr="002442AE" w:rsidRDefault="002442AE" w:rsidP="00B1069D">
            <w:r>
              <w:t>None</w:t>
            </w:r>
          </w:p>
        </w:tc>
      </w:tr>
    </w:tbl>
    <w:p w14:paraId="02A6DFD1" w14:textId="77777777" w:rsidR="00B47ECE" w:rsidRPr="002442AE" w:rsidRDefault="00F4020E" w:rsidP="00903647">
      <w:pPr>
        <w:spacing w:after="100" w:afterAutospacing="1"/>
      </w:pPr>
      <w:hyperlink w:anchor="chartiasr32" w:history="1">
        <w:r w:rsidR="00A541E6" w:rsidRPr="004B00F3">
          <w:rPr>
            <w:rStyle w:val="Hyperlink"/>
          </w:rPr>
          <w:t>Section 32</w:t>
        </w:r>
      </w:hyperlink>
      <w:r w:rsidR="00A541E6">
        <w:t xml:space="preserve"> requires Trent University</w:t>
      </w:r>
      <w:r w:rsidR="002442AE" w:rsidRPr="002442AE">
        <w:t xml:space="preserve"> to incorporate accessibility into its redeployment process. Trent committed to creating a barrier-free process for persons with disabilities by reviewing polic</w:t>
      </w:r>
      <w:r w:rsidR="003A31A6">
        <w:t>i</w:t>
      </w:r>
      <w:r w:rsidR="002442AE" w:rsidRPr="002442AE">
        <w:t xml:space="preserve">es and procedures related to redeployment. </w:t>
      </w:r>
    </w:p>
    <w:p w14:paraId="56E5131D" w14:textId="77777777" w:rsidR="00722924" w:rsidRPr="00AB2198" w:rsidRDefault="00722924" w:rsidP="00AB2198">
      <w:pPr>
        <w:pStyle w:val="Heading4"/>
        <w:rPr>
          <w:rStyle w:val="SubtleEmphasis"/>
          <w:rFonts w:ascii="Arial" w:hAnsi="Arial" w:cs="Arial"/>
          <w:b/>
          <w:i/>
          <w:color w:val="auto"/>
        </w:rPr>
      </w:pPr>
      <w:r w:rsidRPr="00AB2198">
        <w:rPr>
          <w:rStyle w:val="SubtleEmphasis"/>
          <w:rFonts w:ascii="Arial" w:hAnsi="Arial" w:cs="Arial"/>
          <w:b/>
          <w:color w:val="auto"/>
        </w:rPr>
        <w:t>Design of Public Spaces Standard</w:t>
      </w:r>
    </w:p>
    <w:tbl>
      <w:tblPr>
        <w:tblStyle w:val="TableGrid"/>
        <w:tblW w:w="0" w:type="auto"/>
        <w:tblLook w:val="04A0" w:firstRow="1" w:lastRow="0" w:firstColumn="1" w:lastColumn="0" w:noHBand="0" w:noVBand="1"/>
        <w:tblCaption w:val="Design of Public Spaces"/>
        <w:tblDescription w:val="AODA Referenced Section is 80.6 to 80.44 of the Design of Public Spaces Standard. Deadline for compliance as January 1, 2016. Trent is in compliance with sections of this standard and working toward compliance in other areas. Departmental champion is Facilities Managment. Action is required. See action item list below table. "/>
      </w:tblPr>
      <w:tblGrid>
        <w:gridCol w:w="4677"/>
        <w:gridCol w:w="4673"/>
      </w:tblGrid>
      <w:tr w:rsidR="00722924" w14:paraId="132F22E8" w14:textId="77777777" w:rsidTr="00722924">
        <w:tc>
          <w:tcPr>
            <w:tcW w:w="5105" w:type="dxa"/>
          </w:tcPr>
          <w:p w14:paraId="2D1B369A" w14:textId="77777777" w:rsidR="00722924" w:rsidRDefault="00722924" w:rsidP="00B26456">
            <w:pPr>
              <w:rPr>
                <w:b/>
              </w:rPr>
            </w:pPr>
            <w:r>
              <w:rPr>
                <w:b/>
              </w:rPr>
              <w:t xml:space="preserve">AODA Reference: </w:t>
            </w:r>
          </w:p>
        </w:tc>
        <w:tc>
          <w:tcPr>
            <w:tcW w:w="5105" w:type="dxa"/>
          </w:tcPr>
          <w:p w14:paraId="080A6E1E" w14:textId="77777777" w:rsidR="00722924" w:rsidRPr="00722924" w:rsidRDefault="00722924" w:rsidP="00B26456">
            <w:bookmarkStart w:id="73" w:name="DOPS1"/>
            <w:r w:rsidRPr="00722924">
              <w:t>IASR s.80.6-80.44 – Design of Public Spaces</w:t>
            </w:r>
            <w:bookmarkEnd w:id="73"/>
          </w:p>
        </w:tc>
      </w:tr>
      <w:tr w:rsidR="00722924" w14:paraId="640126AC" w14:textId="77777777" w:rsidTr="00722924">
        <w:tc>
          <w:tcPr>
            <w:tcW w:w="5105" w:type="dxa"/>
          </w:tcPr>
          <w:p w14:paraId="125AE5FE" w14:textId="77777777" w:rsidR="00722924" w:rsidRDefault="00722924" w:rsidP="00B26456">
            <w:pPr>
              <w:rPr>
                <w:b/>
              </w:rPr>
            </w:pPr>
            <w:r>
              <w:rPr>
                <w:b/>
              </w:rPr>
              <w:t>Deadline and Status:</w:t>
            </w:r>
          </w:p>
        </w:tc>
        <w:tc>
          <w:tcPr>
            <w:tcW w:w="5105" w:type="dxa"/>
          </w:tcPr>
          <w:p w14:paraId="4435EE3B" w14:textId="77777777" w:rsidR="00722924" w:rsidRPr="00722924" w:rsidRDefault="00722924" w:rsidP="00B26456">
            <w:r>
              <w:t>January 1, 2016 – Compliant/In-progress</w:t>
            </w:r>
          </w:p>
        </w:tc>
      </w:tr>
      <w:tr w:rsidR="00722924" w14:paraId="3D312E58" w14:textId="77777777" w:rsidTr="00722924">
        <w:tc>
          <w:tcPr>
            <w:tcW w:w="5105" w:type="dxa"/>
          </w:tcPr>
          <w:p w14:paraId="1B357B24" w14:textId="77777777" w:rsidR="00722924" w:rsidRDefault="00722924" w:rsidP="00B26456">
            <w:pPr>
              <w:rPr>
                <w:b/>
              </w:rPr>
            </w:pPr>
            <w:r>
              <w:rPr>
                <w:b/>
              </w:rPr>
              <w:t>Departmental Champions:</w:t>
            </w:r>
          </w:p>
        </w:tc>
        <w:tc>
          <w:tcPr>
            <w:tcW w:w="5105" w:type="dxa"/>
          </w:tcPr>
          <w:p w14:paraId="6DC1C1B5" w14:textId="77777777" w:rsidR="00722924" w:rsidRPr="00722924" w:rsidRDefault="00722924" w:rsidP="00B26456">
            <w:r w:rsidRPr="00722924">
              <w:t>Facilities Management</w:t>
            </w:r>
          </w:p>
        </w:tc>
      </w:tr>
      <w:tr w:rsidR="00722924" w14:paraId="3690BCD9" w14:textId="77777777" w:rsidTr="00722924">
        <w:tc>
          <w:tcPr>
            <w:tcW w:w="5105" w:type="dxa"/>
          </w:tcPr>
          <w:p w14:paraId="22CBCDE5" w14:textId="77777777" w:rsidR="00722924" w:rsidRDefault="00722924" w:rsidP="00B26456">
            <w:pPr>
              <w:rPr>
                <w:b/>
              </w:rPr>
            </w:pPr>
            <w:r>
              <w:rPr>
                <w:b/>
              </w:rPr>
              <w:t>Action Required:</w:t>
            </w:r>
          </w:p>
        </w:tc>
        <w:tc>
          <w:tcPr>
            <w:tcW w:w="5105" w:type="dxa"/>
          </w:tcPr>
          <w:p w14:paraId="7FA6A18E" w14:textId="77777777" w:rsidR="00722924" w:rsidRPr="00722924" w:rsidRDefault="00722924" w:rsidP="00B26456">
            <w:r w:rsidRPr="00722924">
              <w:t>Yes – see actions below</w:t>
            </w:r>
          </w:p>
        </w:tc>
      </w:tr>
    </w:tbl>
    <w:p w14:paraId="69A998D6" w14:textId="60567C9F" w:rsidR="00722924" w:rsidRDefault="00F4020E" w:rsidP="00B26456">
      <w:hyperlink w:anchor="chartiasrdops" w:history="1">
        <w:r w:rsidR="00A541E6" w:rsidRPr="004B00F3">
          <w:rPr>
            <w:rStyle w:val="Hyperlink"/>
          </w:rPr>
          <w:t>The Design of Public Space</w:t>
        </w:r>
        <w:r w:rsidR="00A541E6" w:rsidRPr="004B00F3">
          <w:rPr>
            <w:rStyle w:val="Hyperlink"/>
          </w:rPr>
          <w:t>s</w:t>
        </w:r>
        <w:r w:rsidR="00A541E6" w:rsidRPr="004B00F3">
          <w:rPr>
            <w:rStyle w:val="Hyperlink"/>
          </w:rPr>
          <w:t xml:space="preserve"> Standard</w:t>
        </w:r>
      </w:hyperlink>
      <w:r w:rsidR="00A541E6">
        <w:t xml:space="preserve"> requires Trent University to have accessible physical spaces, as outlined in the standard. </w:t>
      </w:r>
      <w:r w:rsidR="009D4154">
        <w:t>Due to the timing of when</w:t>
      </w:r>
      <w:r w:rsidR="00722924" w:rsidRPr="00C8309B">
        <w:t xml:space="preserve"> this standard was </w:t>
      </w:r>
      <w:r w:rsidR="00A541E6">
        <w:t>developed</w:t>
      </w:r>
      <w:r w:rsidR="00F71063">
        <w:t xml:space="preserve"> and came into effect this is </w:t>
      </w:r>
      <w:r w:rsidR="00722924" w:rsidRPr="00C8309B">
        <w:t xml:space="preserve">Trent’s first multi-year accessibility plan that fully delineates a plan for meeting requirements of the Design of Public Spaces Standard. </w:t>
      </w:r>
      <w:r w:rsidR="00C8309B" w:rsidRPr="00C8309B">
        <w:t xml:space="preserve">Trent is nearing compliance related to all sections of this requirement and the following actions establish how Trent will actively continue to meet this requirements going forward. </w:t>
      </w:r>
    </w:p>
    <w:p w14:paraId="554581C6" w14:textId="7D0652DC" w:rsidR="00F4020E" w:rsidRPr="00F4020E" w:rsidRDefault="00F4020E" w:rsidP="00F4020E">
      <w:pPr>
        <w:autoSpaceDE w:val="0"/>
        <w:autoSpaceDN w:val="0"/>
        <w:rPr>
          <w:bCs/>
        </w:rPr>
      </w:pPr>
      <w:r w:rsidRPr="00F4020E">
        <w:rPr>
          <w:b/>
        </w:rPr>
        <w:t>IASR 80.44 – Maintenance of Accessible Elements:</w:t>
      </w:r>
      <w:r w:rsidRPr="00F4020E">
        <w:t xml:space="preserve"> </w:t>
      </w:r>
      <w:r w:rsidRPr="00F4020E">
        <w:rPr>
          <w:bCs/>
        </w:rPr>
        <w:t>Preventative maintenance of accessible elements is carried out in accordance with the ongoing maintenance plan.</w:t>
      </w:r>
      <w:r>
        <w:rPr>
          <w:bCs/>
        </w:rPr>
        <w:t xml:space="preserve"> </w:t>
      </w:r>
      <w:r w:rsidRPr="00F4020E">
        <w:rPr>
          <w:bCs/>
        </w:rPr>
        <w:t>Notifications of required repairs/requests for emergency repairs/maintenance of accessible elements are given top priority when they are received.</w:t>
      </w:r>
      <w:r>
        <w:rPr>
          <w:bCs/>
        </w:rPr>
        <w:t xml:space="preserve"> </w:t>
      </w:r>
      <w:bookmarkStart w:id="74" w:name="_GoBack"/>
      <w:bookmarkEnd w:id="74"/>
      <w:r w:rsidRPr="00F4020E">
        <w:rPr>
          <w:bCs/>
        </w:rPr>
        <w:t>Notices of temporary service disruptions are posted as soon as administration is made aware of the disruption.</w:t>
      </w:r>
    </w:p>
    <w:p w14:paraId="2A5938F0" w14:textId="7854D858" w:rsidR="000F5F79" w:rsidRPr="004B00F3" w:rsidRDefault="00946D93" w:rsidP="00CF5D94">
      <w:pPr>
        <w:pStyle w:val="Heading4"/>
        <w:rPr>
          <w:rStyle w:val="SubtleEmphasis"/>
          <w:rFonts w:ascii="Arial" w:hAnsi="Arial" w:cs="Arial"/>
          <w:b/>
          <w:i/>
          <w:color w:val="auto"/>
        </w:rPr>
      </w:pPr>
      <w:r w:rsidRPr="004B00F3">
        <w:rPr>
          <w:rStyle w:val="SubtleEmphasis"/>
          <w:rFonts w:ascii="Arial" w:hAnsi="Arial" w:cs="Arial"/>
          <w:b/>
          <w:color w:val="auto"/>
        </w:rPr>
        <w:t>Establishment of Policies – Customer Service</w:t>
      </w:r>
    </w:p>
    <w:tbl>
      <w:tblPr>
        <w:tblStyle w:val="TableGrid"/>
        <w:tblW w:w="0" w:type="auto"/>
        <w:tblLook w:val="04A0" w:firstRow="1" w:lastRow="0" w:firstColumn="1" w:lastColumn="0" w:noHBand="0" w:noVBand="1"/>
        <w:tblCaption w:val="Establishment of Policies - Customer Service "/>
        <w:tblDescription w:val="AODA Referenced Section is 80.46 of Customer Service. Deadline for Complaince as January 1, 2010 and Trent is currently in compliance. Departmental Champion is the Centre for Human Rights, Equity and Accessibility. No action is required. "/>
      </w:tblPr>
      <w:tblGrid>
        <w:gridCol w:w="4686"/>
        <w:gridCol w:w="4664"/>
      </w:tblGrid>
      <w:tr w:rsidR="000F5F79" w14:paraId="497B9F4C" w14:textId="77777777" w:rsidTr="000F5F79">
        <w:tc>
          <w:tcPr>
            <w:tcW w:w="5105" w:type="dxa"/>
          </w:tcPr>
          <w:p w14:paraId="3BEA17F2" w14:textId="77777777" w:rsidR="000F5F79" w:rsidRDefault="000F5F79" w:rsidP="00AF7DC7">
            <w:pPr>
              <w:rPr>
                <w:b/>
              </w:rPr>
            </w:pPr>
            <w:r>
              <w:rPr>
                <w:b/>
              </w:rPr>
              <w:t>AODA Reference:</w:t>
            </w:r>
          </w:p>
        </w:tc>
        <w:tc>
          <w:tcPr>
            <w:tcW w:w="5105" w:type="dxa"/>
          </w:tcPr>
          <w:p w14:paraId="1EA560B4" w14:textId="77777777" w:rsidR="000F5F79" w:rsidRPr="00946D93" w:rsidRDefault="00946D93" w:rsidP="00AF7DC7">
            <w:bookmarkStart w:id="75" w:name="DOPS2"/>
            <w:bookmarkStart w:id="76" w:name="CSS1"/>
            <w:r>
              <w:t>IASR s.80.46</w:t>
            </w:r>
            <w:r w:rsidR="00685ADC">
              <w:t xml:space="preserve"> –</w:t>
            </w:r>
            <w:bookmarkEnd w:id="75"/>
            <w:r w:rsidR="00685ADC">
              <w:t xml:space="preserve"> Customer Service</w:t>
            </w:r>
            <w:bookmarkEnd w:id="76"/>
          </w:p>
        </w:tc>
      </w:tr>
      <w:tr w:rsidR="000F5F79" w14:paraId="79F37DD0" w14:textId="77777777" w:rsidTr="000F5F79">
        <w:tc>
          <w:tcPr>
            <w:tcW w:w="5105" w:type="dxa"/>
          </w:tcPr>
          <w:p w14:paraId="269B1282" w14:textId="77777777" w:rsidR="000F5F79" w:rsidRDefault="000F5F79" w:rsidP="00AF7DC7">
            <w:pPr>
              <w:rPr>
                <w:b/>
              </w:rPr>
            </w:pPr>
            <w:r>
              <w:rPr>
                <w:b/>
              </w:rPr>
              <w:t xml:space="preserve">Deadline and Status: </w:t>
            </w:r>
          </w:p>
        </w:tc>
        <w:tc>
          <w:tcPr>
            <w:tcW w:w="5105" w:type="dxa"/>
          </w:tcPr>
          <w:p w14:paraId="2621CE49" w14:textId="77777777" w:rsidR="000F5F79" w:rsidRPr="000F5F79" w:rsidRDefault="000F5F79" w:rsidP="00AF7DC7">
            <w:r w:rsidRPr="000F5F79">
              <w:t>January 1, 2010 - Compliant</w:t>
            </w:r>
          </w:p>
        </w:tc>
      </w:tr>
      <w:tr w:rsidR="000F5F79" w14:paraId="18A1AFCC" w14:textId="77777777" w:rsidTr="000F5F79">
        <w:tc>
          <w:tcPr>
            <w:tcW w:w="5105" w:type="dxa"/>
          </w:tcPr>
          <w:p w14:paraId="0D2E96B7" w14:textId="77777777" w:rsidR="000F5F79" w:rsidRDefault="000F5F79" w:rsidP="00AF7DC7">
            <w:pPr>
              <w:rPr>
                <w:b/>
              </w:rPr>
            </w:pPr>
            <w:r>
              <w:rPr>
                <w:b/>
              </w:rPr>
              <w:t>Departmental Champions</w:t>
            </w:r>
            <w:r w:rsidR="009D2E54">
              <w:rPr>
                <w:b/>
              </w:rPr>
              <w:t>:</w:t>
            </w:r>
          </w:p>
        </w:tc>
        <w:tc>
          <w:tcPr>
            <w:tcW w:w="5105" w:type="dxa"/>
          </w:tcPr>
          <w:p w14:paraId="4F58B196" w14:textId="77777777" w:rsidR="009F5966" w:rsidRPr="009D2E54" w:rsidRDefault="009D2E54" w:rsidP="002442AE">
            <w:r w:rsidRPr="009D2E54">
              <w:t>Centre for Human Rights, Equity and Accessibility</w:t>
            </w:r>
            <w:r w:rsidR="009F5966">
              <w:t xml:space="preserve"> </w:t>
            </w:r>
          </w:p>
        </w:tc>
      </w:tr>
      <w:tr w:rsidR="00946D93" w14:paraId="08F74166" w14:textId="77777777" w:rsidTr="000F5F79">
        <w:tc>
          <w:tcPr>
            <w:tcW w:w="5105" w:type="dxa"/>
          </w:tcPr>
          <w:p w14:paraId="0DE1D298" w14:textId="77777777" w:rsidR="00946D93" w:rsidRDefault="00946D93" w:rsidP="00AF7DC7">
            <w:pPr>
              <w:rPr>
                <w:b/>
              </w:rPr>
            </w:pPr>
            <w:r>
              <w:rPr>
                <w:b/>
              </w:rPr>
              <w:t>Action Required:</w:t>
            </w:r>
          </w:p>
        </w:tc>
        <w:tc>
          <w:tcPr>
            <w:tcW w:w="5105" w:type="dxa"/>
          </w:tcPr>
          <w:p w14:paraId="2B58CE83" w14:textId="77777777" w:rsidR="00946D93" w:rsidRPr="00946D93" w:rsidRDefault="00946D93" w:rsidP="002442AE">
            <w:r>
              <w:t>None</w:t>
            </w:r>
          </w:p>
        </w:tc>
      </w:tr>
    </w:tbl>
    <w:p w14:paraId="10949650" w14:textId="77777777" w:rsidR="00946D93" w:rsidRDefault="00F4020E" w:rsidP="00903647">
      <w:pPr>
        <w:spacing w:after="100" w:afterAutospacing="1"/>
      </w:pPr>
      <w:hyperlink w:anchor="chartiasrcss1" w:history="1">
        <w:r w:rsidR="00F71063" w:rsidRPr="004B00F3">
          <w:rPr>
            <w:rStyle w:val="Hyperlink"/>
          </w:rPr>
          <w:t>Section 80.46</w:t>
        </w:r>
      </w:hyperlink>
      <w:r w:rsidR="00F71063">
        <w:t xml:space="preserve"> required Trent University</w:t>
      </w:r>
      <w:r w:rsidR="00946D93">
        <w:t xml:space="preserve"> to establish a  Customer Service Policy which incorporated requirements of the then Customer Service Standard including such aspects as welcoming for service animals and support persons and how best to meet the needs of persons with disabilities who require service. Trent’s Customer Service policy has seen been superseded and incorporated into a broader accessibility policy that outlines requirements under the IASR of the AODA. </w:t>
      </w:r>
    </w:p>
    <w:p w14:paraId="2F572DA4" w14:textId="77777777" w:rsidR="00946D93" w:rsidRPr="00AB2198" w:rsidRDefault="00946D93" w:rsidP="00AB2198">
      <w:pPr>
        <w:pStyle w:val="Heading4"/>
        <w:rPr>
          <w:rStyle w:val="SubtleEmphasis"/>
          <w:rFonts w:ascii="Arial" w:hAnsi="Arial" w:cs="Arial"/>
          <w:b/>
          <w:i/>
          <w:color w:val="auto"/>
        </w:rPr>
      </w:pPr>
      <w:r w:rsidRPr="00AB2198">
        <w:rPr>
          <w:rStyle w:val="SubtleEmphasis"/>
          <w:rFonts w:ascii="Arial" w:hAnsi="Arial" w:cs="Arial"/>
          <w:b/>
          <w:color w:val="auto"/>
        </w:rPr>
        <w:t>Use of Service Animals and Support Persons</w:t>
      </w:r>
    </w:p>
    <w:tbl>
      <w:tblPr>
        <w:tblStyle w:val="TableGrid"/>
        <w:tblW w:w="0" w:type="auto"/>
        <w:tblLook w:val="04A0" w:firstRow="1" w:lastRow="0" w:firstColumn="1" w:lastColumn="0" w:noHBand="0" w:noVBand="1"/>
        <w:tblCaption w:val="Use of Service Animals and Support Persons"/>
        <w:tblDescription w:val="AODA Referenced Section is 80.47 of Customer Service. Deadline for Compliance was January 1, 2010. Trent is in Compliance. Departmental Champion is Centre for Human Rights, Equity and Accessibility. No action is required. "/>
      </w:tblPr>
      <w:tblGrid>
        <w:gridCol w:w="4686"/>
        <w:gridCol w:w="4664"/>
      </w:tblGrid>
      <w:tr w:rsidR="00946D93" w14:paraId="0B6731DE" w14:textId="77777777" w:rsidTr="00946D93">
        <w:tc>
          <w:tcPr>
            <w:tcW w:w="5105" w:type="dxa"/>
          </w:tcPr>
          <w:p w14:paraId="3E7EB75B" w14:textId="77777777" w:rsidR="00946D93" w:rsidRDefault="00946D93" w:rsidP="00FB7921">
            <w:pPr>
              <w:rPr>
                <w:b/>
              </w:rPr>
            </w:pPr>
            <w:r>
              <w:rPr>
                <w:b/>
              </w:rPr>
              <w:t xml:space="preserve">AODA Reference: </w:t>
            </w:r>
          </w:p>
        </w:tc>
        <w:tc>
          <w:tcPr>
            <w:tcW w:w="5105" w:type="dxa"/>
          </w:tcPr>
          <w:p w14:paraId="1E4D028A" w14:textId="77777777" w:rsidR="00946D93" w:rsidRPr="00946D93" w:rsidRDefault="00946D93" w:rsidP="00FB7921">
            <w:bookmarkStart w:id="77" w:name="CSS2"/>
            <w:r>
              <w:t>IASR s.80.47 – Customer Service</w:t>
            </w:r>
            <w:bookmarkEnd w:id="77"/>
          </w:p>
        </w:tc>
      </w:tr>
      <w:tr w:rsidR="00946D93" w14:paraId="01DFB1DF" w14:textId="77777777" w:rsidTr="00946D93">
        <w:tc>
          <w:tcPr>
            <w:tcW w:w="5105" w:type="dxa"/>
          </w:tcPr>
          <w:p w14:paraId="10F0BAF0" w14:textId="77777777" w:rsidR="00946D93" w:rsidRDefault="00946D93" w:rsidP="00FB7921">
            <w:pPr>
              <w:rPr>
                <w:b/>
              </w:rPr>
            </w:pPr>
            <w:r>
              <w:rPr>
                <w:b/>
              </w:rPr>
              <w:t>Deadlines and Status:</w:t>
            </w:r>
          </w:p>
        </w:tc>
        <w:tc>
          <w:tcPr>
            <w:tcW w:w="5105" w:type="dxa"/>
          </w:tcPr>
          <w:p w14:paraId="7E403FE2" w14:textId="77777777" w:rsidR="00946D93" w:rsidRPr="00566451" w:rsidRDefault="00946D93" w:rsidP="00FB7921">
            <w:r w:rsidRPr="00566451">
              <w:t>January 1, 2010 - Compliant</w:t>
            </w:r>
          </w:p>
        </w:tc>
      </w:tr>
      <w:tr w:rsidR="00946D93" w14:paraId="70B8E952" w14:textId="77777777" w:rsidTr="00946D93">
        <w:tc>
          <w:tcPr>
            <w:tcW w:w="5105" w:type="dxa"/>
          </w:tcPr>
          <w:p w14:paraId="7DB779B8" w14:textId="77777777" w:rsidR="00946D93" w:rsidRDefault="00566451" w:rsidP="00FB7921">
            <w:pPr>
              <w:rPr>
                <w:b/>
              </w:rPr>
            </w:pPr>
            <w:r>
              <w:rPr>
                <w:b/>
              </w:rPr>
              <w:t xml:space="preserve">Departmental Champions: </w:t>
            </w:r>
          </w:p>
        </w:tc>
        <w:tc>
          <w:tcPr>
            <w:tcW w:w="5105" w:type="dxa"/>
          </w:tcPr>
          <w:p w14:paraId="02C59384" w14:textId="77777777" w:rsidR="00946D93" w:rsidRDefault="00566451" w:rsidP="00FB7921">
            <w:pPr>
              <w:rPr>
                <w:b/>
              </w:rPr>
            </w:pPr>
            <w:r w:rsidRPr="009D2E54">
              <w:t>Centre for Human Rights, Equity and Accessibility</w:t>
            </w:r>
          </w:p>
        </w:tc>
      </w:tr>
      <w:tr w:rsidR="00946D93" w14:paraId="763BC292" w14:textId="77777777" w:rsidTr="00946D93">
        <w:tc>
          <w:tcPr>
            <w:tcW w:w="5105" w:type="dxa"/>
          </w:tcPr>
          <w:p w14:paraId="00DBDBBE" w14:textId="77777777" w:rsidR="00946D93" w:rsidRDefault="00566451" w:rsidP="00FB7921">
            <w:pPr>
              <w:rPr>
                <w:b/>
              </w:rPr>
            </w:pPr>
            <w:r>
              <w:rPr>
                <w:b/>
              </w:rPr>
              <w:t xml:space="preserve">Action Required: </w:t>
            </w:r>
          </w:p>
        </w:tc>
        <w:tc>
          <w:tcPr>
            <w:tcW w:w="5105" w:type="dxa"/>
          </w:tcPr>
          <w:p w14:paraId="0D89B043" w14:textId="77777777" w:rsidR="00946D93" w:rsidRPr="00566451" w:rsidRDefault="00566451" w:rsidP="00FB7921">
            <w:r>
              <w:t>None</w:t>
            </w:r>
          </w:p>
        </w:tc>
      </w:tr>
    </w:tbl>
    <w:p w14:paraId="6DA44446" w14:textId="77777777" w:rsidR="00946D93" w:rsidRPr="00F71063" w:rsidRDefault="00F4020E" w:rsidP="00903647">
      <w:pPr>
        <w:spacing w:after="100" w:afterAutospacing="1"/>
      </w:pPr>
      <w:hyperlink w:anchor="chartiasrcss2" w:history="1">
        <w:r w:rsidR="00F71063" w:rsidRPr="004B00F3">
          <w:rPr>
            <w:rStyle w:val="Hyperlink"/>
          </w:rPr>
          <w:t>Section 80.47</w:t>
        </w:r>
      </w:hyperlink>
      <w:r w:rsidR="00F71063">
        <w:t xml:space="preserve"> requires welcoming of service animals and support persons. </w:t>
      </w:r>
      <w:r w:rsidR="00566451" w:rsidRPr="00566451">
        <w:t>Trent’s Accessibility Policy is in place to support a welcoming environment for service animals an</w:t>
      </w:r>
      <w:r w:rsidR="00F71063">
        <w:t xml:space="preserve">d support persons on campus </w:t>
      </w:r>
      <w:r w:rsidR="00566451" w:rsidRPr="00566451">
        <w:t>where not prohibited by other legislation. Trent’s policy was undated in 2016 to reflect the new r</w:t>
      </w:r>
      <w:r w:rsidR="00F71063">
        <w:t>equirements for organizations when requiring</w:t>
      </w:r>
      <w:r w:rsidR="00566451" w:rsidRPr="00566451">
        <w:t xml:space="preserve"> a support person be present. Trent continues to waive fees and fares for support persons. </w:t>
      </w:r>
    </w:p>
    <w:p w14:paraId="51DC22F2" w14:textId="77777777" w:rsidR="00566451" w:rsidRPr="00AB2198" w:rsidRDefault="00566451" w:rsidP="00AB2198">
      <w:pPr>
        <w:pStyle w:val="Heading4"/>
        <w:rPr>
          <w:rStyle w:val="SubtleEmphasis"/>
          <w:rFonts w:ascii="Arial" w:hAnsi="Arial" w:cs="Arial"/>
          <w:b/>
          <w:i/>
        </w:rPr>
      </w:pPr>
      <w:r w:rsidRPr="00AB2198">
        <w:rPr>
          <w:rStyle w:val="SubtleEmphasis"/>
          <w:rFonts w:ascii="Arial" w:hAnsi="Arial" w:cs="Arial"/>
          <w:b/>
          <w:color w:val="auto"/>
        </w:rPr>
        <w:t>Notice o</w:t>
      </w:r>
      <w:r w:rsidR="00BB351A" w:rsidRPr="00AB2198">
        <w:rPr>
          <w:rStyle w:val="SubtleEmphasis"/>
          <w:rFonts w:ascii="Arial" w:hAnsi="Arial" w:cs="Arial"/>
          <w:b/>
          <w:color w:val="auto"/>
        </w:rPr>
        <w:t>f Temporary Disruptions</w:t>
      </w:r>
    </w:p>
    <w:tbl>
      <w:tblPr>
        <w:tblStyle w:val="TableGrid"/>
        <w:tblW w:w="0" w:type="auto"/>
        <w:tblLook w:val="04A0" w:firstRow="1" w:lastRow="0" w:firstColumn="1" w:lastColumn="0" w:noHBand="0" w:noVBand="1"/>
        <w:tblCaption w:val="Notice of Temporary Disruptions "/>
        <w:tblDescription w:val="AODA Referenced Section is 80.48 of Customer Service. Deadline for compliance was January 1, 2010. Trent is in compliance. Departmental Champion is Facilities Managment. No action is required."/>
      </w:tblPr>
      <w:tblGrid>
        <w:gridCol w:w="4679"/>
        <w:gridCol w:w="4671"/>
      </w:tblGrid>
      <w:tr w:rsidR="00566451" w14:paraId="5E9FC5E9" w14:textId="77777777" w:rsidTr="00566451">
        <w:tc>
          <w:tcPr>
            <w:tcW w:w="5105" w:type="dxa"/>
          </w:tcPr>
          <w:p w14:paraId="05357EF3" w14:textId="77777777" w:rsidR="00BB351A" w:rsidRDefault="00BB351A" w:rsidP="00FB7921">
            <w:pPr>
              <w:rPr>
                <w:b/>
              </w:rPr>
            </w:pPr>
            <w:r>
              <w:rPr>
                <w:b/>
              </w:rPr>
              <w:t>AODA Reference:</w:t>
            </w:r>
          </w:p>
        </w:tc>
        <w:tc>
          <w:tcPr>
            <w:tcW w:w="5105" w:type="dxa"/>
          </w:tcPr>
          <w:p w14:paraId="7053EC5E" w14:textId="77777777" w:rsidR="00566451" w:rsidRPr="00BB351A" w:rsidRDefault="00BB351A" w:rsidP="00FB7921">
            <w:bookmarkStart w:id="78" w:name="CSS3"/>
            <w:r>
              <w:t>IASR s.80.48 – Customer Service</w:t>
            </w:r>
            <w:bookmarkEnd w:id="78"/>
          </w:p>
        </w:tc>
      </w:tr>
      <w:tr w:rsidR="00566451" w14:paraId="6E9B0F96" w14:textId="77777777" w:rsidTr="00566451">
        <w:tc>
          <w:tcPr>
            <w:tcW w:w="5105" w:type="dxa"/>
          </w:tcPr>
          <w:p w14:paraId="32786DE9" w14:textId="77777777" w:rsidR="00566451" w:rsidRDefault="00BB351A" w:rsidP="00FB7921">
            <w:pPr>
              <w:rPr>
                <w:b/>
              </w:rPr>
            </w:pPr>
            <w:r>
              <w:rPr>
                <w:b/>
              </w:rPr>
              <w:t>Deadlines and Status:</w:t>
            </w:r>
          </w:p>
        </w:tc>
        <w:tc>
          <w:tcPr>
            <w:tcW w:w="5105" w:type="dxa"/>
          </w:tcPr>
          <w:p w14:paraId="511D5D8F" w14:textId="77777777" w:rsidR="00566451" w:rsidRPr="00BB351A" w:rsidRDefault="00BB351A" w:rsidP="00FB7921">
            <w:r>
              <w:t>January 1, 2010 - Compliant</w:t>
            </w:r>
          </w:p>
        </w:tc>
      </w:tr>
      <w:tr w:rsidR="00566451" w14:paraId="3E111C0B" w14:textId="77777777" w:rsidTr="00566451">
        <w:tc>
          <w:tcPr>
            <w:tcW w:w="5105" w:type="dxa"/>
          </w:tcPr>
          <w:p w14:paraId="4DB1E920" w14:textId="77777777" w:rsidR="00566451" w:rsidRDefault="00BB351A" w:rsidP="00FB7921">
            <w:pPr>
              <w:rPr>
                <w:b/>
              </w:rPr>
            </w:pPr>
            <w:r>
              <w:rPr>
                <w:b/>
              </w:rPr>
              <w:t xml:space="preserve">Departmental Champions: </w:t>
            </w:r>
          </w:p>
        </w:tc>
        <w:tc>
          <w:tcPr>
            <w:tcW w:w="5105" w:type="dxa"/>
          </w:tcPr>
          <w:p w14:paraId="3D493F60" w14:textId="77777777" w:rsidR="00566451" w:rsidRPr="00BB351A" w:rsidRDefault="00BB351A" w:rsidP="00FB7921">
            <w:r w:rsidRPr="00BB351A">
              <w:t>Facilities Management</w:t>
            </w:r>
          </w:p>
        </w:tc>
      </w:tr>
      <w:tr w:rsidR="00566451" w14:paraId="0383783E" w14:textId="77777777" w:rsidTr="00566451">
        <w:tc>
          <w:tcPr>
            <w:tcW w:w="5105" w:type="dxa"/>
          </w:tcPr>
          <w:p w14:paraId="316DA77E" w14:textId="77777777" w:rsidR="00566451" w:rsidRDefault="00BB351A" w:rsidP="00FB7921">
            <w:pPr>
              <w:rPr>
                <w:b/>
              </w:rPr>
            </w:pPr>
            <w:r>
              <w:rPr>
                <w:b/>
              </w:rPr>
              <w:t>Action Required:</w:t>
            </w:r>
          </w:p>
        </w:tc>
        <w:tc>
          <w:tcPr>
            <w:tcW w:w="5105" w:type="dxa"/>
          </w:tcPr>
          <w:p w14:paraId="56BF49EA" w14:textId="77777777" w:rsidR="00566451" w:rsidRPr="00BB351A" w:rsidRDefault="00BB351A" w:rsidP="00FB7921">
            <w:r>
              <w:t>None</w:t>
            </w:r>
          </w:p>
        </w:tc>
      </w:tr>
    </w:tbl>
    <w:p w14:paraId="65A89B04" w14:textId="77777777" w:rsidR="00BB351A" w:rsidRPr="00BB351A" w:rsidRDefault="00F4020E" w:rsidP="00FB7921">
      <w:hyperlink w:anchor="chartiasrcss3" w:history="1">
        <w:r w:rsidR="00F71063" w:rsidRPr="004B00F3">
          <w:rPr>
            <w:rStyle w:val="Hyperlink"/>
          </w:rPr>
          <w:t>Section 80.48</w:t>
        </w:r>
      </w:hyperlink>
      <w:r w:rsidR="00F71063">
        <w:t xml:space="preserve"> requires Trent University</w:t>
      </w:r>
      <w:r w:rsidR="00BB351A" w:rsidRPr="00BB351A">
        <w:t xml:space="preserve"> to post notice of temporary service disruptions as a means of alerting customers with disabilities of any changes that may impact service availability or related access to service. Trent posts notice of service disruptions on a dedicated webpage maintained by Facilities Management. Portal announcements regarding service disruptions are also posted as appropriate. </w:t>
      </w:r>
    </w:p>
    <w:p w14:paraId="104FE703" w14:textId="77777777" w:rsidR="00BB351A" w:rsidRDefault="00BB351A" w:rsidP="00BB351A"/>
    <w:p w14:paraId="645E098C" w14:textId="77777777" w:rsidR="00AB4837" w:rsidRPr="00AB2198" w:rsidRDefault="00AB4837" w:rsidP="00AB2198">
      <w:pPr>
        <w:pStyle w:val="Heading4"/>
        <w:rPr>
          <w:rStyle w:val="SubtleEmphasis"/>
          <w:rFonts w:ascii="Arial" w:hAnsi="Arial" w:cs="Arial"/>
          <w:b/>
          <w:i/>
          <w:color w:val="auto"/>
        </w:rPr>
      </w:pPr>
      <w:r w:rsidRPr="00AB2198">
        <w:rPr>
          <w:rStyle w:val="SubtleEmphasis"/>
          <w:rFonts w:ascii="Arial" w:hAnsi="Arial" w:cs="Arial"/>
          <w:b/>
          <w:color w:val="auto"/>
        </w:rPr>
        <w:t>Training – Customer Service</w:t>
      </w:r>
    </w:p>
    <w:tbl>
      <w:tblPr>
        <w:tblStyle w:val="TableGrid"/>
        <w:tblW w:w="0" w:type="auto"/>
        <w:tblLook w:val="04A0" w:firstRow="1" w:lastRow="0" w:firstColumn="1" w:lastColumn="0" w:noHBand="0" w:noVBand="1"/>
        <w:tblCaption w:val="Training - Customer Service"/>
        <w:tblDescription w:val="AODA referenced section is 80.49 of Customer Service. Deadline for Compliance was January 1, 2010. Trent University is in compliance. Departmental Champion is Centre for Human Rights, Equity and Accessibility. Action is required. See action list below table. "/>
      </w:tblPr>
      <w:tblGrid>
        <w:gridCol w:w="4686"/>
        <w:gridCol w:w="4664"/>
      </w:tblGrid>
      <w:tr w:rsidR="00AB4837" w14:paraId="2F5A55BD" w14:textId="77777777" w:rsidTr="00AB4837">
        <w:tc>
          <w:tcPr>
            <w:tcW w:w="5105" w:type="dxa"/>
          </w:tcPr>
          <w:p w14:paraId="06A12730" w14:textId="77777777" w:rsidR="00AB4837" w:rsidRDefault="00AB4837" w:rsidP="00BB351A">
            <w:pPr>
              <w:rPr>
                <w:b/>
              </w:rPr>
            </w:pPr>
            <w:r>
              <w:rPr>
                <w:b/>
              </w:rPr>
              <w:t>AODA Reference:</w:t>
            </w:r>
          </w:p>
        </w:tc>
        <w:tc>
          <w:tcPr>
            <w:tcW w:w="5105" w:type="dxa"/>
          </w:tcPr>
          <w:p w14:paraId="6F69226B" w14:textId="77777777" w:rsidR="00AB4837" w:rsidRPr="00AB4837" w:rsidRDefault="00AB4837" w:rsidP="00BB351A">
            <w:bookmarkStart w:id="79" w:name="CSS4"/>
            <w:r>
              <w:t>IASR s.80.49 – Customer Service</w:t>
            </w:r>
            <w:bookmarkEnd w:id="79"/>
          </w:p>
        </w:tc>
      </w:tr>
      <w:tr w:rsidR="00AB4837" w14:paraId="1037A8C6" w14:textId="77777777" w:rsidTr="00AB4837">
        <w:tc>
          <w:tcPr>
            <w:tcW w:w="5105" w:type="dxa"/>
          </w:tcPr>
          <w:p w14:paraId="3797F8AC" w14:textId="77777777" w:rsidR="00AB4837" w:rsidRDefault="00AB4837" w:rsidP="00BB351A">
            <w:pPr>
              <w:rPr>
                <w:b/>
              </w:rPr>
            </w:pPr>
            <w:r>
              <w:rPr>
                <w:b/>
              </w:rPr>
              <w:t>Deadlines and Status:</w:t>
            </w:r>
          </w:p>
        </w:tc>
        <w:tc>
          <w:tcPr>
            <w:tcW w:w="5105" w:type="dxa"/>
          </w:tcPr>
          <w:p w14:paraId="5C2B9D1F" w14:textId="77777777" w:rsidR="00AB4837" w:rsidRPr="00AB4837" w:rsidRDefault="00AB4837" w:rsidP="00BB351A">
            <w:r>
              <w:t>January 1, 2010 - Compliant</w:t>
            </w:r>
          </w:p>
        </w:tc>
      </w:tr>
      <w:tr w:rsidR="00AB4837" w14:paraId="0CFDCC84" w14:textId="77777777" w:rsidTr="00AB4837">
        <w:tc>
          <w:tcPr>
            <w:tcW w:w="5105" w:type="dxa"/>
          </w:tcPr>
          <w:p w14:paraId="425266BB" w14:textId="77777777" w:rsidR="00AB4837" w:rsidRDefault="00AB4837" w:rsidP="00BB351A">
            <w:pPr>
              <w:rPr>
                <w:b/>
              </w:rPr>
            </w:pPr>
            <w:r>
              <w:rPr>
                <w:b/>
              </w:rPr>
              <w:t>Departmental Champions:</w:t>
            </w:r>
          </w:p>
        </w:tc>
        <w:tc>
          <w:tcPr>
            <w:tcW w:w="5105" w:type="dxa"/>
          </w:tcPr>
          <w:p w14:paraId="6E3BF39D" w14:textId="77777777" w:rsidR="00AB4837" w:rsidRPr="00AB4837" w:rsidRDefault="00AB4837" w:rsidP="00BB351A">
            <w:r w:rsidRPr="00AB4837">
              <w:t>Centre for Human Rights, Equity and Accessibility</w:t>
            </w:r>
          </w:p>
        </w:tc>
      </w:tr>
      <w:tr w:rsidR="00AB4837" w14:paraId="6CADB646" w14:textId="77777777" w:rsidTr="00AB4837">
        <w:tc>
          <w:tcPr>
            <w:tcW w:w="5105" w:type="dxa"/>
          </w:tcPr>
          <w:p w14:paraId="7F9BAECE" w14:textId="77777777" w:rsidR="00AB4837" w:rsidRDefault="00AB4837" w:rsidP="00BB351A">
            <w:pPr>
              <w:rPr>
                <w:b/>
              </w:rPr>
            </w:pPr>
            <w:r>
              <w:rPr>
                <w:b/>
              </w:rPr>
              <w:t>Action Required:</w:t>
            </w:r>
          </w:p>
        </w:tc>
        <w:tc>
          <w:tcPr>
            <w:tcW w:w="5105" w:type="dxa"/>
          </w:tcPr>
          <w:p w14:paraId="128E0049" w14:textId="77777777" w:rsidR="00AB4837" w:rsidRPr="0078307B" w:rsidRDefault="00AB4837" w:rsidP="00BB351A">
            <w:r w:rsidRPr="0078307B">
              <w:t>Yes – see actions below</w:t>
            </w:r>
          </w:p>
        </w:tc>
      </w:tr>
    </w:tbl>
    <w:p w14:paraId="5F369FC0" w14:textId="77777777" w:rsidR="00AB4837" w:rsidRDefault="00F4020E" w:rsidP="00BB351A">
      <w:hyperlink w:anchor="chartiasrcss4" w:history="1">
        <w:r w:rsidR="00F71063" w:rsidRPr="004B00F3">
          <w:rPr>
            <w:rStyle w:val="Hyperlink"/>
          </w:rPr>
          <w:t>Section 80.49</w:t>
        </w:r>
      </w:hyperlink>
      <w:r w:rsidR="00F71063">
        <w:t xml:space="preserve"> requires Trent University</w:t>
      </w:r>
      <w:r w:rsidR="00AB4837">
        <w:t xml:space="preserve"> to provide training to all employees and volunteers (as of 2016) on how best to communicate with customers with disabilities while interacting with support</w:t>
      </w:r>
      <w:r w:rsidR="00F71063">
        <w:t xml:space="preserve"> persons and service animals as well</w:t>
      </w:r>
      <w:r w:rsidR="00AB4837">
        <w:t xml:space="preserve"> meeting</w:t>
      </w:r>
      <w:r w:rsidR="00F71063">
        <w:t xml:space="preserve"> customer</w:t>
      </w:r>
      <w:r w:rsidR="00AB4837">
        <w:t xml:space="preserve"> needs if challenges in obtaining services </w:t>
      </w:r>
      <w:r w:rsidR="00F71063">
        <w:t>occur</w:t>
      </w:r>
      <w:r w:rsidR="00AB4837">
        <w:t xml:space="preserve">. Trent provides training online through Blackboard and in-person every semester.  Training is tracked and recorded. </w:t>
      </w:r>
    </w:p>
    <w:p w14:paraId="4D9B808F" w14:textId="77777777" w:rsidR="00AB4837" w:rsidRDefault="00AB4837" w:rsidP="00BB351A">
      <w:r w:rsidRPr="00AB4837">
        <w:rPr>
          <w:b/>
        </w:rPr>
        <w:t>Actions</w:t>
      </w:r>
      <w:r>
        <w:t>:</w:t>
      </w:r>
    </w:p>
    <w:p w14:paraId="619FD8CC" w14:textId="77777777" w:rsidR="00AB4837" w:rsidRDefault="00AB4837" w:rsidP="00BB351A">
      <w:r>
        <w:t xml:space="preserve">Trent will continue take the following action to meet this requirement: </w:t>
      </w:r>
    </w:p>
    <w:p w14:paraId="4C4CE4B2" w14:textId="77777777" w:rsidR="00AB4837" w:rsidRDefault="00F71063" w:rsidP="00AB4837">
      <w:pPr>
        <w:pStyle w:val="ListParagraph"/>
        <w:numPr>
          <w:ilvl w:val="0"/>
          <w:numId w:val="44"/>
        </w:numPr>
      </w:pPr>
      <w:r>
        <w:t>Update t</w:t>
      </w:r>
      <w:r w:rsidR="00AB4837">
        <w:t xml:space="preserve">raining to meet 2016 legislative changes. </w:t>
      </w:r>
    </w:p>
    <w:p w14:paraId="3CEE71A8" w14:textId="77777777" w:rsidR="00AB4837" w:rsidRDefault="00AB4837" w:rsidP="00AB4837">
      <w:pPr>
        <w:pStyle w:val="ListParagraph"/>
        <w:numPr>
          <w:ilvl w:val="0"/>
          <w:numId w:val="44"/>
        </w:numPr>
      </w:pPr>
      <w:r>
        <w:t>Continue to offer training in multiple formats.</w:t>
      </w:r>
    </w:p>
    <w:p w14:paraId="228B1093" w14:textId="77777777" w:rsidR="0078307B" w:rsidRPr="005A5E16" w:rsidRDefault="00AB4837" w:rsidP="00903647">
      <w:pPr>
        <w:pStyle w:val="ListParagraph"/>
        <w:numPr>
          <w:ilvl w:val="0"/>
          <w:numId w:val="44"/>
        </w:numPr>
        <w:spacing w:after="100" w:afterAutospacing="1"/>
      </w:pPr>
      <w:r>
        <w:t xml:space="preserve">Continue to track training. </w:t>
      </w:r>
    </w:p>
    <w:p w14:paraId="4C07A960" w14:textId="77777777" w:rsidR="00AB4837" w:rsidRPr="00AB2198" w:rsidRDefault="0078307B" w:rsidP="00AB2198">
      <w:pPr>
        <w:pStyle w:val="Heading4"/>
        <w:rPr>
          <w:rStyle w:val="SubtleEmphasis"/>
          <w:rFonts w:ascii="Arial" w:hAnsi="Arial" w:cs="Arial"/>
          <w:b/>
          <w:i/>
          <w:color w:val="auto"/>
        </w:rPr>
      </w:pPr>
      <w:r w:rsidRPr="00AB2198">
        <w:rPr>
          <w:rStyle w:val="SubtleEmphasis"/>
          <w:rFonts w:ascii="Arial" w:hAnsi="Arial" w:cs="Arial"/>
          <w:b/>
          <w:color w:val="auto"/>
        </w:rPr>
        <w:t>Feedback Processes – Customer Service</w:t>
      </w:r>
    </w:p>
    <w:tbl>
      <w:tblPr>
        <w:tblStyle w:val="TableGrid"/>
        <w:tblW w:w="0" w:type="auto"/>
        <w:tblLook w:val="04A0" w:firstRow="1" w:lastRow="0" w:firstColumn="1" w:lastColumn="0" w:noHBand="0" w:noVBand="1"/>
        <w:tblCaption w:val="Feedback Processes - Customer Service "/>
        <w:tblDescription w:val="AODA Referenced section is 80.50 of customer service. Deadline for compliance was January 1, 2010 and Trent is in compliance. Departmental Champion is the Centre for Human Rights, Equity and Accessibility. No action is required. "/>
      </w:tblPr>
      <w:tblGrid>
        <w:gridCol w:w="4684"/>
        <w:gridCol w:w="4666"/>
      </w:tblGrid>
      <w:tr w:rsidR="0078307B" w14:paraId="78993C84" w14:textId="77777777" w:rsidTr="0078307B">
        <w:tc>
          <w:tcPr>
            <w:tcW w:w="5105" w:type="dxa"/>
          </w:tcPr>
          <w:p w14:paraId="5CF996C6" w14:textId="77777777" w:rsidR="0078307B" w:rsidRPr="0078307B" w:rsidRDefault="0078307B" w:rsidP="00AB4837">
            <w:pPr>
              <w:rPr>
                <w:b/>
              </w:rPr>
            </w:pPr>
            <w:r w:rsidRPr="0078307B">
              <w:rPr>
                <w:b/>
              </w:rPr>
              <w:t xml:space="preserve">AODA Reference: </w:t>
            </w:r>
          </w:p>
        </w:tc>
        <w:tc>
          <w:tcPr>
            <w:tcW w:w="5105" w:type="dxa"/>
          </w:tcPr>
          <w:p w14:paraId="6E1A0E08" w14:textId="77777777" w:rsidR="0078307B" w:rsidRDefault="0078307B" w:rsidP="00AB4837">
            <w:bookmarkStart w:id="80" w:name="CSS5"/>
            <w:r>
              <w:t>IASR s.80.50 – Customer Service</w:t>
            </w:r>
            <w:bookmarkEnd w:id="80"/>
          </w:p>
        </w:tc>
      </w:tr>
      <w:tr w:rsidR="0078307B" w14:paraId="489230D8" w14:textId="77777777" w:rsidTr="0078307B">
        <w:tc>
          <w:tcPr>
            <w:tcW w:w="5105" w:type="dxa"/>
          </w:tcPr>
          <w:p w14:paraId="29B39EA6" w14:textId="77777777" w:rsidR="0078307B" w:rsidRDefault="0078307B" w:rsidP="00AB4837">
            <w:r>
              <w:t>Deadlines and Status:</w:t>
            </w:r>
          </w:p>
        </w:tc>
        <w:tc>
          <w:tcPr>
            <w:tcW w:w="5105" w:type="dxa"/>
          </w:tcPr>
          <w:p w14:paraId="6ADA022C" w14:textId="77777777" w:rsidR="0078307B" w:rsidRDefault="0078307B" w:rsidP="00AB4837">
            <w:r>
              <w:t>January 1, 2010 - Compliant</w:t>
            </w:r>
          </w:p>
        </w:tc>
      </w:tr>
      <w:tr w:rsidR="0078307B" w14:paraId="2FB3C017" w14:textId="77777777" w:rsidTr="0078307B">
        <w:tc>
          <w:tcPr>
            <w:tcW w:w="5105" w:type="dxa"/>
          </w:tcPr>
          <w:p w14:paraId="2B68A6D0" w14:textId="77777777" w:rsidR="0078307B" w:rsidRDefault="0078307B" w:rsidP="00AB4837">
            <w:r>
              <w:t>Departmental Champions:</w:t>
            </w:r>
          </w:p>
        </w:tc>
        <w:tc>
          <w:tcPr>
            <w:tcW w:w="5105" w:type="dxa"/>
          </w:tcPr>
          <w:p w14:paraId="68D432F5" w14:textId="77777777" w:rsidR="0078307B" w:rsidRDefault="0078307B" w:rsidP="00AB4837">
            <w:r>
              <w:t xml:space="preserve">Centre for Human Rights, Equity and Accessibility </w:t>
            </w:r>
          </w:p>
        </w:tc>
      </w:tr>
      <w:tr w:rsidR="0078307B" w14:paraId="358E9003" w14:textId="77777777" w:rsidTr="0078307B">
        <w:tc>
          <w:tcPr>
            <w:tcW w:w="5105" w:type="dxa"/>
          </w:tcPr>
          <w:p w14:paraId="1DDCF917" w14:textId="77777777" w:rsidR="0078307B" w:rsidRDefault="0078307B" w:rsidP="00AB4837">
            <w:r>
              <w:t>Action Required:</w:t>
            </w:r>
          </w:p>
        </w:tc>
        <w:tc>
          <w:tcPr>
            <w:tcW w:w="5105" w:type="dxa"/>
          </w:tcPr>
          <w:p w14:paraId="414CACD0" w14:textId="77777777" w:rsidR="0078307B" w:rsidRDefault="0078307B" w:rsidP="00AB4837">
            <w:r>
              <w:t>None</w:t>
            </w:r>
          </w:p>
        </w:tc>
      </w:tr>
    </w:tbl>
    <w:p w14:paraId="3937A4DF" w14:textId="77777777" w:rsidR="00EA3517" w:rsidRDefault="00F4020E" w:rsidP="00903647">
      <w:pPr>
        <w:spacing w:after="100" w:afterAutospacing="1"/>
      </w:pPr>
      <w:hyperlink w:anchor="chartiasrcss5" w:history="1">
        <w:r w:rsidR="00F71063" w:rsidRPr="004B00F3">
          <w:rPr>
            <w:rStyle w:val="Hyperlink"/>
          </w:rPr>
          <w:t>Section 80.50</w:t>
        </w:r>
      </w:hyperlink>
      <w:r w:rsidR="00F71063">
        <w:t xml:space="preserve"> requires Trent University</w:t>
      </w:r>
      <w:r w:rsidR="0078307B">
        <w:t xml:space="preserve"> provide mechanisms for receiving and respo</w:t>
      </w:r>
      <w:r w:rsidR="005A5E16">
        <w:t>nding to feedback on the goods,</w:t>
      </w:r>
      <w:r w:rsidR="0078307B">
        <w:t xml:space="preserve"> services and facilities provided to customers with disabilities as well as on the feedback processes themselves. Trent has established mechanisms for feedback through multiple modalities including in-person, writing, email, online form and telephone. Trent is committed to responding to feedback in a timely manner that takes into account the needs of </w:t>
      </w:r>
      <w:r w:rsidR="00EA3517">
        <w:t>the person with the disability.</w:t>
      </w:r>
    </w:p>
    <w:p w14:paraId="26BCDA6D" w14:textId="77777777" w:rsidR="00EA3517" w:rsidRPr="00AB2198" w:rsidRDefault="005A5E16" w:rsidP="00AB2198">
      <w:pPr>
        <w:pStyle w:val="Heading4"/>
        <w:rPr>
          <w:rFonts w:ascii="Arial" w:hAnsi="Arial" w:cs="Arial"/>
          <w:b/>
        </w:rPr>
      </w:pPr>
      <w:r w:rsidRPr="00AB2198">
        <w:rPr>
          <w:rStyle w:val="SubtleEmphasis"/>
          <w:rFonts w:ascii="Arial" w:hAnsi="Arial" w:cs="Arial"/>
          <w:b/>
          <w:color w:val="auto"/>
        </w:rPr>
        <w:t>Format of Documents</w:t>
      </w:r>
    </w:p>
    <w:tbl>
      <w:tblPr>
        <w:tblStyle w:val="TableGrid"/>
        <w:tblW w:w="0" w:type="auto"/>
        <w:tblLook w:val="04A0" w:firstRow="1" w:lastRow="0" w:firstColumn="1" w:lastColumn="0" w:noHBand="0" w:noVBand="1"/>
        <w:tblCaption w:val="Format of Documents "/>
        <w:tblDescription w:val="AODA Referenced Section 80.51 Customer Service. The deadline for compliance with this requirement was January 1, 2010 and Trent is currently in compliance with this requirement. The departmental champion is the Centre for Human Rights, Equity and Accessibility, No action is required at this time. "/>
      </w:tblPr>
      <w:tblGrid>
        <w:gridCol w:w="4683"/>
        <w:gridCol w:w="4667"/>
      </w:tblGrid>
      <w:tr w:rsidR="00EA3517" w14:paraId="5A385C1D" w14:textId="77777777" w:rsidTr="00EA3517">
        <w:tc>
          <w:tcPr>
            <w:tcW w:w="5105" w:type="dxa"/>
          </w:tcPr>
          <w:p w14:paraId="36145227" w14:textId="77777777" w:rsidR="00EA3517" w:rsidRDefault="00EA3517" w:rsidP="00AB4837">
            <w:pPr>
              <w:rPr>
                <w:b/>
              </w:rPr>
            </w:pPr>
            <w:r>
              <w:rPr>
                <w:b/>
              </w:rPr>
              <w:t>AODA Reference:</w:t>
            </w:r>
          </w:p>
        </w:tc>
        <w:tc>
          <w:tcPr>
            <w:tcW w:w="5105" w:type="dxa"/>
          </w:tcPr>
          <w:p w14:paraId="44A071BE" w14:textId="77777777" w:rsidR="00EA3517" w:rsidRPr="00EA3517" w:rsidRDefault="00EA3517" w:rsidP="00AB4837">
            <w:bookmarkStart w:id="81" w:name="CSS6"/>
            <w:r w:rsidRPr="00EA3517">
              <w:t xml:space="preserve">IASR s.80.51 – Customer Service </w:t>
            </w:r>
            <w:bookmarkEnd w:id="81"/>
          </w:p>
        </w:tc>
      </w:tr>
      <w:tr w:rsidR="00EA3517" w14:paraId="5E6B18C7" w14:textId="77777777" w:rsidTr="00EA3517">
        <w:tc>
          <w:tcPr>
            <w:tcW w:w="5105" w:type="dxa"/>
          </w:tcPr>
          <w:p w14:paraId="3F32B96C" w14:textId="77777777" w:rsidR="00EA3517" w:rsidRDefault="00EA3517" w:rsidP="00AB4837">
            <w:pPr>
              <w:rPr>
                <w:b/>
              </w:rPr>
            </w:pPr>
            <w:r>
              <w:rPr>
                <w:b/>
              </w:rPr>
              <w:t>Deadline and Status:</w:t>
            </w:r>
          </w:p>
        </w:tc>
        <w:tc>
          <w:tcPr>
            <w:tcW w:w="5105" w:type="dxa"/>
          </w:tcPr>
          <w:p w14:paraId="18004BDD" w14:textId="77777777" w:rsidR="00EA3517" w:rsidRPr="00EA3517" w:rsidRDefault="00EA3517" w:rsidP="00AB4837">
            <w:r w:rsidRPr="00EA3517">
              <w:t>January 1, 2010 - Compliant</w:t>
            </w:r>
          </w:p>
        </w:tc>
      </w:tr>
      <w:tr w:rsidR="00EA3517" w14:paraId="28FB6D1B" w14:textId="77777777" w:rsidTr="00EA3517">
        <w:tc>
          <w:tcPr>
            <w:tcW w:w="5105" w:type="dxa"/>
          </w:tcPr>
          <w:p w14:paraId="4DA26CAC" w14:textId="77777777" w:rsidR="00EA3517" w:rsidRDefault="00EA3517" w:rsidP="00AB4837">
            <w:pPr>
              <w:rPr>
                <w:b/>
              </w:rPr>
            </w:pPr>
            <w:r>
              <w:rPr>
                <w:b/>
              </w:rPr>
              <w:t>Departmental Champions:</w:t>
            </w:r>
          </w:p>
        </w:tc>
        <w:tc>
          <w:tcPr>
            <w:tcW w:w="5105" w:type="dxa"/>
          </w:tcPr>
          <w:p w14:paraId="6B2FEF47" w14:textId="77777777" w:rsidR="00EA3517" w:rsidRPr="00EA3517" w:rsidRDefault="00EA3517" w:rsidP="00AB4837">
            <w:r w:rsidRPr="00EA3517">
              <w:t xml:space="preserve">Centre for Human Rights, Equity and Accessibility. </w:t>
            </w:r>
          </w:p>
        </w:tc>
      </w:tr>
      <w:tr w:rsidR="00EA3517" w14:paraId="5B27D5B4" w14:textId="77777777" w:rsidTr="00EA3517">
        <w:tc>
          <w:tcPr>
            <w:tcW w:w="5105" w:type="dxa"/>
          </w:tcPr>
          <w:p w14:paraId="50957774" w14:textId="77777777" w:rsidR="00EA3517" w:rsidRDefault="00EA3517" w:rsidP="00AB4837">
            <w:pPr>
              <w:rPr>
                <w:b/>
              </w:rPr>
            </w:pPr>
            <w:r>
              <w:rPr>
                <w:b/>
              </w:rPr>
              <w:t>Action Required:</w:t>
            </w:r>
          </w:p>
        </w:tc>
        <w:tc>
          <w:tcPr>
            <w:tcW w:w="5105" w:type="dxa"/>
          </w:tcPr>
          <w:p w14:paraId="11148465" w14:textId="77777777" w:rsidR="00EA3517" w:rsidRPr="00EA3517" w:rsidRDefault="00EA3517" w:rsidP="00AB4837">
            <w:r w:rsidRPr="00EA3517">
              <w:t>None</w:t>
            </w:r>
          </w:p>
        </w:tc>
      </w:tr>
    </w:tbl>
    <w:p w14:paraId="223E5161" w14:textId="35B0FC2D" w:rsidR="00EA3517" w:rsidRDefault="00F4020E" w:rsidP="00AB4837">
      <w:hyperlink w:anchor="chartiasrcss6" w:history="1">
        <w:r w:rsidR="00F71063" w:rsidRPr="004B00F3">
          <w:rPr>
            <w:rStyle w:val="Hyperlink"/>
          </w:rPr>
          <w:t>Section 80.51</w:t>
        </w:r>
      </w:hyperlink>
      <w:r w:rsidR="00F71063">
        <w:t xml:space="preserve"> requires that</w:t>
      </w:r>
      <w:r w:rsidR="00ED24AA">
        <w:t xml:space="preserve">, when asked, documents be provided </w:t>
      </w:r>
      <w:r w:rsidR="00EA3517" w:rsidRPr="00EA3517">
        <w:t xml:space="preserve">in an accessible format or with necessary communication supports which take into account the needs of the person with the disability. Trent </w:t>
      </w:r>
      <w:r w:rsidR="00ED24AA">
        <w:t xml:space="preserve">will continue to </w:t>
      </w:r>
      <w:r w:rsidR="00EA3517" w:rsidRPr="00EA3517">
        <w:t>respond to these requests in a timely manner and in consultation with the person making the request in order to meet disability-related needs. Trent has an accessible document request form onli</w:t>
      </w:r>
      <w:r w:rsidR="00F71063">
        <w:t>ne to help meet these request</w:t>
      </w:r>
      <w:r w:rsidR="00B831E0">
        <w:t>s</w:t>
      </w:r>
      <w:r w:rsidR="00F71063">
        <w:t>.</w:t>
      </w:r>
    </w:p>
    <w:p w14:paraId="4BC4BACC" w14:textId="77777777" w:rsidR="000D2734" w:rsidRDefault="000D2734" w:rsidP="00AB4837"/>
    <w:p w14:paraId="553F05AA" w14:textId="77777777" w:rsidR="00B831E0" w:rsidRDefault="00B831E0">
      <w:r>
        <w:br w:type="page"/>
      </w:r>
    </w:p>
    <w:p w14:paraId="6DC937A0" w14:textId="77777777" w:rsidR="002148D1" w:rsidRDefault="00B831E0" w:rsidP="00CF5D94">
      <w:pPr>
        <w:pStyle w:val="Heading2"/>
      </w:pPr>
      <w:bookmarkStart w:id="82" w:name="_Toc467746522"/>
      <w:r>
        <w:t>Resources</w:t>
      </w:r>
      <w:bookmarkEnd w:id="82"/>
    </w:p>
    <w:tbl>
      <w:tblPr>
        <w:tblStyle w:val="TableGrid"/>
        <w:tblW w:w="0" w:type="auto"/>
        <w:tblLook w:val="04A0" w:firstRow="1" w:lastRow="0" w:firstColumn="1" w:lastColumn="0" w:noHBand="0" w:noVBand="1"/>
        <w:tblCaption w:val="Resources "/>
        <w:tblDescription w:val="This table outlines AODA areas including Accessible Procurement, kioks, IASR Training, Educator Training, Training on Customer Service, Websites, and libraries and looks at what resources are needed to meet compliance requirements by assigned deadlines. These resources include human resources as well as financial resources. Please call 705 748-1011 extension 6602 if you require further explanation. "/>
      </w:tblPr>
      <w:tblGrid>
        <w:gridCol w:w="4655"/>
        <w:gridCol w:w="4695"/>
      </w:tblGrid>
      <w:tr w:rsidR="00B831E0" w14:paraId="3B850E17" w14:textId="77777777" w:rsidTr="00B831E0">
        <w:tc>
          <w:tcPr>
            <w:tcW w:w="4788" w:type="dxa"/>
          </w:tcPr>
          <w:p w14:paraId="5B67F267" w14:textId="77777777" w:rsidR="00B831E0" w:rsidRDefault="00B831E0" w:rsidP="00CF5D94">
            <w:pPr>
              <w:jc w:val="center"/>
            </w:pPr>
            <w:r>
              <w:t>AODA Reference</w:t>
            </w:r>
          </w:p>
        </w:tc>
        <w:tc>
          <w:tcPr>
            <w:tcW w:w="4788" w:type="dxa"/>
          </w:tcPr>
          <w:p w14:paraId="3DCB4E3B" w14:textId="77777777" w:rsidR="00B831E0" w:rsidRDefault="00B831E0" w:rsidP="00CF5D94">
            <w:pPr>
              <w:jc w:val="center"/>
            </w:pPr>
            <w:r>
              <w:t>Resources Required</w:t>
            </w:r>
          </w:p>
        </w:tc>
      </w:tr>
      <w:tr w:rsidR="00B831E0" w14:paraId="6047926B" w14:textId="77777777" w:rsidTr="00B831E0">
        <w:tc>
          <w:tcPr>
            <w:tcW w:w="4788" w:type="dxa"/>
          </w:tcPr>
          <w:p w14:paraId="7A7A6E54" w14:textId="77777777" w:rsidR="00B831E0" w:rsidRDefault="00B831E0" w:rsidP="00B831E0">
            <w:r>
              <w:t xml:space="preserve">IASR s.3 </w:t>
            </w:r>
            <w:r w:rsidR="0024345C">
              <w:t xml:space="preserve">- </w:t>
            </w:r>
            <w:r>
              <w:t>Accessible Procurement</w:t>
            </w:r>
          </w:p>
        </w:tc>
        <w:tc>
          <w:tcPr>
            <w:tcW w:w="4788" w:type="dxa"/>
          </w:tcPr>
          <w:p w14:paraId="45E794E3" w14:textId="77777777" w:rsidR="00B831E0" w:rsidRDefault="00B831E0" w:rsidP="00CF5D94">
            <w:pPr>
              <w:pStyle w:val="ListParagraph"/>
              <w:numPr>
                <w:ilvl w:val="0"/>
                <w:numId w:val="52"/>
              </w:numPr>
              <w:ind w:left="368"/>
            </w:pPr>
            <w:r>
              <w:t xml:space="preserve">Financial support for procurement of </w:t>
            </w:r>
            <w:r w:rsidR="000D08A2">
              <w:t xml:space="preserve">the </w:t>
            </w:r>
            <w:r>
              <w:t>accessible options</w:t>
            </w:r>
            <w:r w:rsidR="000D08A2">
              <w:t xml:space="preserve"> for</w:t>
            </w:r>
            <w:r>
              <w:t xml:space="preserve"> goods and services when acquired. </w:t>
            </w:r>
          </w:p>
        </w:tc>
      </w:tr>
      <w:tr w:rsidR="00B831E0" w14:paraId="6177EC23" w14:textId="77777777" w:rsidTr="00B831E0">
        <w:tc>
          <w:tcPr>
            <w:tcW w:w="4788" w:type="dxa"/>
          </w:tcPr>
          <w:p w14:paraId="34C8F76D" w14:textId="77777777" w:rsidR="00B831E0" w:rsidRDefault="00B831E0" w:rsidP="00B831E0">
            <w:r>
              <w:t xml:space="preserve">IASR s.6 </w:t>
            </w:r>
            <w:r w:rsidR="0024345C">
              <w:t xml:space="preserve">- </w:t>
            </w:r>
            <w:r>
              <w:t>Self-service Kiosks</w:t>
            </w:r>
          </w:p>
        </w:tc>
        <w:tc>
          <w:tcPr>
            <w:tcW w:w="4788" w:type="dxa"/>
          </w:tcPr>
          <w:p w14:paraId="1CC8E14C" w14:textId="77777777" w:rsidR="00B831E0" w:rsidRDefault="00B831E0" w:rsidP="00CF5D94">
            <w:pPr>
              <w:pStyle w:val="ListParagraph"/>
              <w:numPr>
                <w:ilvl w:val="0"/>
                <w:numId w:val="53"/>
              </w:numPr>
            </w:pPr>
            <w:r>
              <w:t xml:space="preserve">Commitment to purchasing self-service kiosks with accessible features that promote use by those with a widely varied abilities. </w:t>
            </w:r>
          </w:p>
        </w:tc>
      </w:tr>
      <w:tr w:rsidR="00B831E0" w14:paraId="194B8FFA" w14:textId="77777777" w:rsidTr="00B831E0">
        <w:tc>
          <w:tcPr>
            <w:tcW w:w="4788" w:type="dxa"/>
          </w:tcPr>
          <w:p w14:paraId="50AAD826" w14:textId="77777777" w:rsidR="00B831E0" w:rsidRDefault="00B831E0" w:rsidP="00B831E0">
            <w:r>
              <w:t>IASR s.7  - IASR Training</w:t>
            </w:r>
          </w:p>
          <w:p w14:paraId="4533170D" w14:textId="77777777" w:rsidR="00B831E0" w:rsidRDefault="00B831E0" w:rsidP="00B831E0">
            <w:r>
              <w:t>IASR s.16 – Educators Training</w:t>
            </w:r>
          </w:p>
          <w:p w14:paraId="5408211E" w14:textId="77777777" w:rsidR="00B831E0" w:rsidRDefault="00B831E0" w:rsidP="00B831E0">
            <w:r>
              <w:t>IASR s.80.49 – Training, Customer Service</w:t>
            </w:r>
          </w:p>
        </w:tc>
        <w:tc>
          <w:tcPr>
            <w:tcW w:w="4788" w:type="dxa"/>
          </w:tcPr>
          <w:p w14:paraId="56EB5C1B" w14:textId="77777777" w:rsidR="00B831E0" w:rsidRDefault="00B831E0" w:rsidP="00CF5D94">
            <w:pPr>
              <w:pStyle w:val="ListParagraph"/>
              <w:numPr>
                <w:ilvl w:val="0"/>
                <w:numId w:val="54"/>
              </w:numPr>
              <w:ind w:left="368"/>
            </w:pPr>
            <w:r>
              <w:t xml:space="preserve">Resource support for tracking of AODA training. Example – Financial support for database system and human resource support for tracking training in system. </w:t>
            </w:r>
          </w:p>
          <w:p w14:paraId="1E395A57" w14:textId="77777777" w:rsidR="006D16E3" w:rsidRDefault="006D16E3" w:rsidP="00CF5D94">
            <w:pPr>
              <w:pStyle w:val="ListParagraph"/>
              <w:numPr>
                <w:ilvl w:val="0"/>
                <w:numId w:val="0"/>
              </w:numPr>
              <w:ind w:left="720"/>
            </w:pPr>
          </w:p>
        </w:tc>
      </w:tr>
      <w:tr w:rsidR="00B831E0" w14:paraId="2F645169" w14:textId="77777777" w:rsidTr="00B831E0">
        <w:tc>
          <w:tcPr>
            <w:tcW w:w="4788" w:type="dxa"/>
          </w:tcPr>
          <w:p w14:paraId="02DF3188" w14:textId="77777777" w:rsidR="00B831E0" w:rsidRDefault="00B831E0" w:rsidP="00B831E0">
            <w:r>
              <w:t xml:space="preserve">IASR s.14 </w:t>
            </w:r>
            <w:r w:rsidR="0024345C">
              <w:t xml:space="preserve">- </w:t>
            </w:r>
            <w:r>
              <w:t>Websites and Web Content</w:t>
            </w:r>
          </w:p>
        </w:tc>
        <w:tc>
          <w:tcPr>
            <w:tcW w:w="4788" w:type="dxa"/>
          </w:tcPr>
          <w:p w14:paraId="477BDB5D" w14:textId="77777777" w:rsidR="006D16E3" w:rsidRDefault="006D16E3" w:rsidP="00CF5D94">
            <w:pPr>
              <w:pStyle w:val="ListParagraph"/>
              <w:numPr>
                <w:ilvl w:val="0"/>
                <w:numId w:val="49"/>
              </w:numPr>
              <w:ind w:left="278" w:hanging="287"/>
            </w:pPr>
            <w:r>
              <w:t xml:space="preserve"> </w:t>
            </w:r>
            <w:r w:rsidR="000D08A2">
              <w:t>Financial commitment to purchasing</w:t>
            </w:r>
            <w:r>
              <w:t xml:space="preserve"> </w:t>
            </w:r>
            <w:r w:rsidR="000D08A2">
              <w:t xml:space="preserve">accessibility auditing software. </w:t>
            </w:r>
          </w:p>
          <w:p w14:paraId="759B5806" w14:textId="77777777" w:rsidR="000D08A2" w:rsidRDefault="000D08A2" w:rsidP="00CF5D94">
            <w:pPr>
              <w:pStyle w:val="ListParagraph"/>
              <w:numPr>
                <w:ilvl w:val="0"/>
                <w:numId w:val="49"/>
              </w:numPr>
              <w:ind w:left="377"/>
            </w:pPr>
            <w:r>
              <w:t xml:space="preserve">Financial support for purchasing or maintaining software license for PDF conversion tools. </w:t>
            </w:r>
          </w:p>
          <w:p w14:paraId="638CDBD5" w14:textId="77777777" w:rsidR="000D08A2" w:rsidRDefault="000D08A2" w:rsidP="00CF5D94">
            <w:pPr>
              <w:pStyle w:val="ListParagraph"/>
              <w:numPr>
                <w:ilvl w:val="0"/>
                <w:numId w:val="49"/>
              </w:numPr>
              <w:ind w:left="377"/>
            </w:pPr>
            <w:r>
              <w:t xml:space="preserve">Human Resource/Personnel commitment to staff with knowledge in web accessibility and web auditing. </w:t>
            </w:r>
          </w:p>
          <w:p w14:paraId="2DDA6BBF" w14:textId="77777777" w:rsidR="000D08A2" w:rsidRDefault="000D08A2" w:rsidP="00CF5D94">
            <w:pPr>
              <w:pStyle w:val="ListParagraph"/>
              <w:numPr>
                <w:ilvl w:val="0"/>
                <w:numId w:val="49"/>
              </w:numPr>
              <w:ind w:left="368"/>
            </w:pPr>
            <w:r>
              <w:t xml:space="preserve">Financial support for external/internal staff training opportunities related to web accessibility and documents.  </w:t>
            </w:r>
          </w:p>
        </w:tc>
      </w:tr>
      <w:tr w:rsidR="007921D8" w14:paraId="69D31D78" w14:textId="77777777" w:rsidTr="00B831E0">
        <w:tc>
          <w:tcPr>
            <w:tcW w:w="4788" w:type="dxa"/>
          </w:tcPr>
          <w:p w14:paraId="3693E683" w14:textId="77777777" w:rsidR="007921D8" w:rsidRDefault="0024345C" w:rsidP="00B831E0">
            <w:r>
              <w:t>IASR s.18 – Libraries, Multimedia</w:t>
            </w:r>
          </w:p>
        </w:tc>
        <w:tc>
          <w:tcPr>
            <w:tcW w:w="4788" w:type="dxa"/>
          </w:tcPr>
          <w:p w14:paraId="62FF005C" w14:textId="77777777" w:rsidR="007921D8" w:rsidRDefault="0024345C" w:rsidP="00CF5D94">
            <w:pPr>
              <w:pStyle w:val="ListParagraph"/>
              <w:numPr>
                <w:ilvl w:val="0"/>
                <w:numId w:val="50"/>
              </w:numPr>
              <w:ind w:left="368"/>
            </w:pPr>
            <w:r>
              <w:t xml:space="preserve">Financial commitment to Scholar’s Portal in order to support the Accessible Content E-Portal (ACE). </w:t>
            </w:r>
          </w:p>
          <w:p w14:paraId="6BBDC247" w14:textId="77777777" w:rsidR="0024345C" w:rsidRDefault="0024345C" w:rsidP="00CF5D94">
            <w:pPr>
              <w:pStyle w:val="ListParagraph"/>
              <w:numPr>
                <w:ilvl w:val="0"/>
                <w:numId w:val="50"/>
              </w:numPr>
              <w:ind w:left="368"/>
            </w:pPr>
            <w:r>
              <w:t xml:space="preserve">Financial commitment that supports procurement of accessible versions of multimedia material. </w:t>
            </w:r>
          </w:p>
        </w:tc>
      </w:tr>
    </w:tbl>
    <w:p w14:paraId="631E7236" w14:textId="77777777" w:rsidR="00B831E0" w:rsidRPr="00B831E0" w:rsidRDefault="00B831E0" w:rsidP="00B831E0"/>
    <w:sectPr w:rsidR="00B831E0" w:rsidRPr="00B831E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A6200" w14:textId="77777777" w:rsidR="00D4228B" w:rsidRDefault="00D4228B" w:rsidP="00340F63">
      <w:pPr>
        <w:spacing w:line="240" w:lineRule="auto"/>
      </w:pPr>
      <w:r>
        <w:separator/>
      </w:r>
    </w:p>
  </w:endnote>
  <w:endnote w:type="continuationSeparator" w:id="0">
    <w:p w14:paraId="17D5B4CA" w14:textId="77777777" w:rsidR="00D4228B" w:rsidRDefault="00D4228B" w:rsidP="00340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32457"/>
      <w:docPartObj>
        <w:docPartGallery w:val="Page Numbers (Bottom of Page)"/>
        <w:docPartUnique/>
      </w:docPartObj>
    </w:sdtPr>
    <w:sdtEndPr/>
    <w:sdtContent>
      <w:sdt>
        <w:sdtPr>
          <w:id w:val="-1769616900"/>
          <w:docPartObj>
            <w:docPartGallery w:val="Page Numbers (Top of Page)"/>
            <w:docPartUnique/>
          </w:docPartObj>
        </w:sdtPr>
        <w:sdtEndPr/>
        <w:sdtContent>
          <w:p w14:paraId="251CC084" w14:textId="5A59A665" w:rsidR="00D4228B" w:rsidRDefault="00D4228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4020E">
              <w:rPr>
                <w:b/>
                <w:bCs/>
                <w:noProof/>
              </w:rPr>
              <w:t>17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4020E">
              <w:rPr>
                <w:b/>
                <w:bCs/>
                <w:noProof/>
              </w:rPr>
              <w:t>19</w:t>
            </w:r>
            <w:r>
              <w:rPr>
                <w:b/>
                <w:bCs/>
                <w:szCs w:val="24"/>
              </w:rPr>
              <w:fldChar w:fldCharType="end"/>
            </w:r>
          </w:p>
        </w:sdtContent>
      </w:sdt>
    </w:sdtContent>
  </w:sdt>
  <w:p w14:paraId="5B124DDC" w14:textId="77777777" w:rsidR="00D4228B" w:rsidRDefault="00D422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BED46" w14:textId="77777777" w:rsidR="00D4228B" w:rsidRDefault="00D4228B" w:rsidP="00340F63">
      <w:pPr>
        <w:spacing w:line="240" w:lineRule="auto"/>
      </w:pPr>
      <w:r>
        <w:separator/>
      </w:r>
    </w:p>
  </w:footnote>
  <w:footnote w:type="continuationSeparator" w:id="0">
    <w:p w14:paraId="74D9D075" w14:textId="77777777" w:rsidR="00D4228B" w:rsidRDefault="00D4228B" w:rsidP="00340F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78C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8277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F0A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508282E"/>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04B03F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7A7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9819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949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96A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C6C3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16C86"/>
    <w:multiLevelType w:val="hybridMultilevel"/>
    <w:tmpl w:val="D206C9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4D04B9B"/>
    <w:multiLevelType w:val="hybridMultilevel"/>
    <w:tmpl w:val="F2C8A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637F01"/>
    <w:multiLevelType w:val="hybridMultilevel"/>
    <w:tmpl w:val="35D6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26008"/>
    <w:multiLevelType w:val="hybridMultilevel"/>
    <w:tmpl w:val="ACDAB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42B9B"/>
    <w:multiLevelType w:val="hybridMultilevel"/>
    <w:tmpl w:val="F6D27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2C61A0"/>
    <w:multiLevelType w:val="hybridMultilevel"/>
    <w:tmpl w:val="F736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753FE5"/>
    <w:multiLevelType w:val="hybridMultilevel"/>
    <w:tmpl w:val="8A68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261A09"/>
    <w:multiLevelType w:val="hybridMultilevel"/>
    <w:tmpl w:val="E34EE4C0"/>
    <w:lvl w:ilvl="0" w:tplc="56241386">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52F6570"/>
    <w:multiLevelType w:val="hybridMultilevel"/>
    <w:tmpl w:val="B2304FF8"/>
    <w:lvl w:ilvl="0" w:tplc="56241386">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DAF7ED4"/>
    <w:multiLevelType w:val="hybridMultilevel"/>
    <w:tmpl w:val="4ED8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136594"/>
    <w:multiLevelType w:val="hybridMultilevel"/>
    <w:tmpl w:val="BA2E1CA4"/>
    <w:lvl w:ilvl="0" w:tplc="C1988F16">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21" w15:restartNumberingAfterBreak="0">
    <w:nsid w:val="245F18D8"/>
    <w:multiLevelType w:val="hybridMultilevel"/>
    <w:tmpl w:val="BE32F982"/>
    <w:lvl w:ilvl="0" w:tplc="562413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1E3B2B"/>
    <w:multiLevelType w:val="hybridMultilevel"/>
    <w:tmpl w:val="2B7A6D26"/>
    <w:lvl w:ilvl="0" w:tplc="562413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B81563"/>
    <w:multiLevelType w:val="hybridMultilevel"/>
    <w:tmpl w:val="544C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EB0299"/>
    <w:multiLevelType w:val="hybridMultilevel"/>
    <w:tmpl w:val="A06A8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5C64F1"/>
    <w:multiLevelType w:val="hybridMultilevel"/>
    <w:tmpl w:val="664873CE"/>
    <w:lvl w:ilvl="0" w:tplc="56241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5E3F60"/>
    <w:multiLevelType w:val="hybridMultilevel"/>
    <w:tmpl w:val="14ECE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C9433F"/>
    <w:multiLevelType w:val="hybridMultilevel"/>
    <w:tmpl w:val="04DA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A78F9"/>
    <w:multiLevelType w:val="hybridMultilevel"/>
    <w:tmpl w:val="F51C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E427D1"/>
    <w:multiLevelType w:val="hybridMultilevel"/>
    <w:tmpl w:val="620CC5C6"/>
    <w:lvl w:ilvl="0" w:tplc="562413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A7100E"/>
    <w:multiLevelType w:val="hybridMultilevel"/>
    <w:tmpl w:val="531E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1A681E"/>
    <w:multiLevelType w:val="hybridMultilevel"/>
    <w:tmpl w:val="80A23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840B62"/>
    <w:multiLevelType w:val="hybridMultilevel"/>
    <w:tmpl w:val="A5309258"/>
    <w:lvl w:ilvl="0" w:tplc="562413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F6048A"/>
    <w:multiLevelType w:val="hybridMultilevel"/>
    <w:tmpl w:val="8BDC1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7C036E"/>
    <w:multiLevelType w:val="hybridMultilevel"/>
    <w:tmpl w:val="87B6D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373AF4"/>
    <w:multiLevelType w:val="hybridMultilevel"/>
    <w:tmpl w:val="318A0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9244C9"/>
    <w:multiLevelType w:val="hybridMultilevel"/>
    <w:tmpl w:val="C58E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952545"/>
    <w:multiLevelType w:val="hybridMultilevel"/>
    <w:tmpl w:val="107CE8CA"/>
    <w:lvl w:ilvl="0" w:tplc="CFF8F32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6608D9"/>
    <w:multiLevelType w:val="hybridMultilevel"/>
    <w:tmpl w:val="1E340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D6167C"/>
    <w:multiLevelType w:val="hybridMultilevel"/>
    <w:tmpl w:val="86366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144315"/>
    <w:multiLevelType w:val="hybridMultilevel"/>
    <w:tmpl w:val="24FE9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2B2FA6"/>
    <w:multiLevelType w:val="hybridMultilevel"/>
    <w:tmpl w:val="FC0E44FA"/>
    <w:lvl w:ilvl="0" w:tplc="397A7528">
      <w:start w:val="4"/>
      <w:numFmt w:val="bullet"/>
      <w:lvlText w:val="-"/>
      <w:lvlJc w:val="left"/>
      <w:pPr>
        <w:ind w:left="5775" w:hanging="360"/>
      </w:pPr>
      <w:rPr>
        <w:rFonts w:ascii="Arial" w:eastAsiaTheme="minorHAnsi" w:hAnsi="Arial" w:cs="Arial" w:hint="default"/>
      </w:rPr>
    </w:lvl>
    <w:lvl w:ilvl="1" w:tplc="04090003" w:tentative="1">
      <w:start w:val="1"/>
      <w:numFmt w:val="bullet"/>
      <w:lvlText w:val="o"/>
      <w:lvlJc w:val="left"/>
      <w:pPr>
        <w:ind w:left="6495" w:hanging="360"/>
      </w:pPr>
      <w:rPr>
        <w:rFonts w:ascii="Courier New" w:hAnsi="Courier New" w:cs="Courier New" w:hint="default"/>
      </w:rPr>
    </w:lvl>
    <w:lvl w:ilvl="2" w:tplc="04090005" w:tentative="1">
      <w:start w:val="1"/>
      <w:numFmt w:val="bullet"/>
      <w:lvlText w:val=""/>
      <w:lvlJc w:val="left"/>
      <w:pPr>
        <w:ind w:left="7215" w:hanging="360"/>
      </w:pPr>
      <w:rPr>
        <w:rFonts w:ascii="Wingdings" w:hAnsi="Wingdings" w:hint="default"/>
      </w:rPr>
    </w:lvl>
    <w:lvl w:ilvl="3" w:tplc="04090001" w:tentative="1">
      <w:start w:val="1"/>
      <w:numFmt w:val="bullet"/>
      <w:lvlText w:val=""/>
      <w:lvlJc w:val="left"/>
      <w:pPr>
        <w:ind w:left="7935" w:hanging="360"/>
      </w:pPr>
      <w:rPr>
        <w:rFonts w:ascii="Symbol" w:hAnsi="Symbol" w:hint="default"/>
      </w:rPr>
    </w:lvl>
    <w:lvl w:ilvl="4" w:tplc="04090003" w:tentative="1">
      <w:start w:val="1"/>
      <w:numFmt w:val="bullet"/>
      <w:lvlText w:val="o"/>
      <w:lvlJc w:val="left"/>
      <w:pPr>
        <w:ind w:left="8655" w:hanging="360"/>
      </w:pPr>
      <w:rPr>
        <w:rFonts w:ascii="Courier New" w:hAnsi="Courier New" w:cs="Courier New" w:hint="default"/>
      </w:rPr>
    </w:lvl>
    <w:lvl w:ilvl="5" w:tplc="04090005" w:tentative="1">
      <w:start w:val="1"/>
      <w:numFmt w:val="bullet"/>
      <w:lvlText w:val=""/>
      <w:lvlJc w:val="left"/>
      <w:pPr>
        <w:ind w:left="9375" w:hanging="360"/>
      </w:pPr>
      <w:rPr>
        <w:rFonts w:ascii="Wingdings" w:hAnsi="Wingdings" w:hint="default"/>
      </w:rPr>
    </w:lvl>
    <w:lvl w:ilvl="6" w:tplc="04090001" w:tentative="1">
      <w:start w:val="1"/>
      <w:numFmt w:val="bullet"/>
      <w:lvlText w:val=""/>
      <w:lvlJc w:val="left"/>
      <w:pPr>
        <w:ind w:left="10095" w:hanging="360"/>
      </w:pPr>
      <w:rPr>
        <w:rFonts w:ascii="Symbol" w:hAnsi="Symbol" w:hint="default"/>
      </w:rPr>
    </w:lvl>
    <w:lvl w:ilvl="7" w:tplc="04090003" w:tentative="1">
      <w:start w:val="1"/>
      <w:numFmt w:val="bullet"/>
      <w:lvlText w:val="o"/>
      <w:lvlJc w:val="left"/>
      <w:pPr>
        <w:ind w:left="10815" w:hanging="360"/>
      </w:pPr>
      <w:rPr>
        <w:rFonts w:ascii="Courier New" w:hAnsi="Courier New" w:cs="Courier New" w:hint="default"/>
      </w:rPr>
    </w:lvl>
    <w:lvl w:ilvl="8" w:tplc="04090005" w:tentative="1">
      <w:start w:val="1"/>
      <w:numFmt w:val="bullet"/>
      <w:lvlText w:val=""/>
      <w:lvlJc w:val="left"/>
      <w:pPr>
        <w:ind w:left="11535" w:hanging="360"/>
      </w:pPr>
      <w:rPr>
        <w:rFonts w:ascii="Wingdings" w:hAnsi="Wingdings" w:hint="default"/>
      </w:rPr>
    </w:lvl>
  </w:abstractNum>
  <w:abstractNum w:abstractNumId="42" w15:restartNumberingAfterBreak="0">
    <w:nsid w:val="60E62D68"/>
    <w:multiLevelType w:val="hybridMultilevel"/>
    <w:tmpl w:val="CF4C1B34"/>
    <w:lvl w:ilvl="0" w:tplc="D08ADAB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86141C"/>
    <w:multiLevelType w:val="hybridMultilevel"/>
    <w:tmpl w:val="397CD2DA"/>
    <w:lvl w:ilvl="0" w:tplc="562413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B063A6"/>
    <w:multiLevelType w:val="hybridMultilevel"/>
    <w:tmpl w:val="63A4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B338C0"/>
    <w:multiLevelType w:val="hybridMultilevel"/>
    <w:tmpl w:val="D73CA872"/>
    <w:lvl w:ilvl="0" w:tplc="562413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0C63BE"/>
    <w:multiLevelType w:val="hybridMultilevel"/>
    <w:tmpl w:val="94E22CCA"/>
    <w:lvl w:ilvl="0" w:tplc="56241386">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CEB4DBC"/>
    <w:multiLevelType w:val="hybridMultilevel"/>
    <w:tmpl w:val="D5D4A07C"/>
    <w:lvl w:ilvl="0" w:tplc="562413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1612EB"/>
    <w:multiLevelType w:val="hybridMultilevel"/>
    <w:tmpl w:val="DF7AD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D76C52"/>
    <w:multiLevelType w:val="hybridMultilevel"/>
    <w:tmpl w:val="4E800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454857"/>
    <w:multiLevelType w:val="hybridMultilevel"/>
    <w:tmpl w:val="E8C2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811CD3"/>
    <w:multiLevelType w:val="hybridMultilevel"/>
    <w:tmpl w:val="0D7CC83A"/>
    <w:lvl w:ilvl="0" w:tplc="E244F3AE">
      <w:start w:val="4"/>
      <w:numFmt w:val="bullet"/>
      <w:lvlText w:val="-"/>
      <w:lvlJc w:val="left"/>
      <w:pPr>
        <w:ind w:left="5700" w:hanging="360"/>
      </w:pPr>
      <w:rPr>
        <w:rFonts w:ascii="Arial" w:eastAsiaTheme="minorHAnsi" w:hAnsi="Arial" w:cs="Arial" w:hint="default"/>
      </w:rPr>
    </w:lvl>
    <w:lvl w:ilvl="1" w:tplc="04090003" w:tentative="1">
      <w:start w:val="1"/>
      <w:numFmt w:val="bullet"/>
      <w:lvlText w:val="o"/>
      <w:lvlJc w:val="left"/>
      <w:pPr>
        <w:ind w:left="6420" w:hanging="360"/>
      </w:pPr>
      <w:rPr>
        <w:rFonts w:ascii="Courier New" w:hAnsi="Courier New" w:cs="Courier New" w:hint="default"/>
      </w:rPr>
    </w:lvl>
    <w:lvl w:ilvl="2" w:tplc="04090005" w:tentative="1">
      <w:start w:val="1"/>
      <w:numFmt w:val="bullet"/>
      <w:lvlText w:val=""/>
      <w:lvlJc w:val="left"/>
      <w:pPr>
        <w:ind w:left="7140" w:hanging="360"/>
      </w:pPr>
      <w:rPr>
        <w:rFonts w:ascii="Wingdings" w:hAnsi="Wingdings" w:hint="default"/>
      </w:rPr>
    </w:lvl>
    <w:lvl w:ilvl="3" w:tplc="04090001" w:tentative="1">
      <w:start w:val="1"/>
      <w:numFmt w:val="bullet"/>
      <w:lvlText w:val=""/>
      <w:lvlJc w:val="left"/>
      <w:pPr>
        <w:ind w:left="7860" w:hanging="360"/>
      </w:pPr>
      <w:rPr>
        <w:rFonts w:ascii="Symbol" w:hAnsi="Symbol" w:hint="default"/>
      </w:rPr>
    </w:lvl>
    <w:lvl w:ilvl="4" w:tplc="04090003" w:tentative="1">
      <w:start w:val="1"/>
      <w:numFmt w:val="bullet"/>
      <w:lvlText w:val="o"/>
      <w:lvlJc w:val="left"/>
      <w:pPr>
        <w:ind w:left="8580" w:hanging="360"/>
      </w:pPr>
      <w:rPr>
        <w:rFonts w:ascii="Courier New" w:hAnsi="Courier New" w:cs="Courier New" w:hint="default"/>
      </w:rPr>
    </w:lvl>
    <w:lvl w:ilvl="5" w:tplc="04090005" w:tentative="1">
      <w:start w:val="1"/>
      <w:numFmt w:val="bullet"/>
      <w:lvlText w:val=""/>
      <w:lvlJc w:val="left"/>
      <w:pPr>
        <w:ind w:left="9300" w:hanging="360"/>
      </w:pPr>
      <w:rPr>
        <w:rFonts w:ascii="Wingdings" w:hAnsi="Wingdings" w:hint="default"/>
      </w:rPr>
    </w:lvl>
    <w:lvl w:ilvl="6" w:tplc="04090001" w:tentative="1">
      <w:start w:val="1"/>
      <w:numFmt w:val="bullet"/>
      <w:lvlText w:val=""/>
      <w:lvlJc w:val="left"/>
      <w:pPr>
        <w:ind w:left="10020" w:hanging="360"/>
      </w:pPr>
      <w:rPr>
        <w:rFonts w:ascii="Symbol" w:hAnsi="Symbol" w:hint="default"/>
      </w:rPr>
    </w:lvl>
    <w:lvl w:ilvl="7" w:tplc="04090003" w:tentative="1">
      <w:start w:val="1"/>
      <w:numFmt w:val="bullet"/>
      <w:lvlText w:val="o"/>
      <w:lvlJc w:val="left"/>
      <w:pPr>
        <w:ind w:left="10740" w:hanging="360"/>
      </w:pPr>
      <w:rPr>
        <w:rFonts w:ascii="Courier New" w:hAnsi="Courier New" w:cs="Courier New" w:hint="default"/>
      </w:rPr>
    </w:lvl>
    <w:lvl w:ilvl="8" w:tplc="04090005" w:tentative="1">
      <w:start w:val="1"/>
      <w:numFmt w:val="bullet"/>
      <w:lvlText w:val=""/>
      <w:lvlJc w:val="left"/>
      <w:pPr>
        <w:ind w:left="11460" w:hanging="360"/>
      </w:pPr>
      <w:rPr>
        <w:rFonts w:ascii="Wingdings" w:hAnsi="Wingdings" w:hint="default"/>
      </w:rPr>
    </w:lvl>
  </w:abstractNum>
  <w:abstractNum w:abstractNumId="52" w15:restartNumberingAfterBreak="0">
    <w:nsid w:val="79673E45"/>
    <w:multiLevelType w:val="hybridMultilevel"/>
    <w:tmpl w:val="28A46FC4"/>
    <w:lvl w:ilvl="0" w:tplc="562413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F42487"/>
    <w:multiLevelType w:val="hybridMultilevel"/>
    <w:tmpl w:val="2FF8C0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37"/>
  </w:num>
  <w:num w:numId="12">
    <w:abstractNumId w:val="0"/>
  </w:num>
  <w:num w:numId="13">
    <w:abstractNumId w:val="44"/>
  </w:num>
  <w:num w:numId="14">
    <w:abstractNumId w:val="30"/>
  </w:num>
  <w:num w:numId="15">
    <w:abstractNumId w:val="12"/>
  </w:num>
  <w:num w:numId="16">
    <w:abstractNumId w:val="15"/>
  </w:num>
  <w:num w:numId="17">
    <w:abstractNumId w:val="50"/>
  </w:num>
  <w:num w:numId="18">
    <w:abstractNumId w:val="27"/>
  </w:num>
  <w:num w:numId="19">
    <w:abstractNumId w:val="36"/>
  </w:num>
  <w:num w:numId="20">
    <w:abstractNumId w:val="40"/>
  </w:num>
  <w:num w:numId="21">
    <w:abstractNumId w:val="19"/>
  </w:num>
  <w:num w:numId="22">
    <w:abstractNumId w:val="53"/>
  </w:num>
  <w:num w:numId="23">
    <w:abstractNumId w:val="24"/>
  </w:num>
  <w:num w:numId="24">
    <w:abstractNumId w:val="11"/>
  </w:num>
  <w:num w:numId="25">
    <w:abstractNumId w:val="13"/>
  </w:num>
  <w:num w:numId="26">
    <w:abstractNumId w:val="34"/>
  </w:num>
  <w:num w:numId="27">
    <w:abstractNumId w:val="51"/>
  </w:num>
  <w:num w:numId="28">
    <w:abstractNumId w:val="41"/>
  </w:num>
  <w:num w:numId="29">
    <w:abstractNumId w:val="33"/>
  </w:num>
  <w:num w:numId="30">
    <w:abstractNumId w:val="25"/>
  </w:num>
  <w:num w:numId="31">
    <w:abstractNumId w:val="22"/>
  </w:num>
  <w:num w:numId="32">
    <w:abstractNumId w:val="29"/>
  </w:num>
  <w:num w:numId="33">
    <w:abstractNumId w:val="43"/>
  </w:num>
  <w:num w:numId="34">
    <w:abstractNumId w:val="21"/>
  </w:num>
  <w:num w:numId="35">
    <w:abstractNumId w:val="18"/>
  </w:num>
  <w:num w:numId="36">
    <w:abstractNumId w:val="52"/>
  </w:num>
  <w:num w:numId="37">
    <w:abstractNumId w:val="45"/>
  </w:num>
  <w:num w:numId="38">
    <w:abstractNumId w:val="46"/>
  </w:num>
  <w:num w:numId="39">
    <w:abstractNumId w:val="47"/>
  </w:num>
  <w:num w:numId="40">
    <w:abstractNumId w:val="17"/>
  </w:num>
  <w:num w:numId="41">
    <w:abstractNumId w:val="32"/>
  </w:num>
  <w:num w:numId="42">
    <w:abstractNumId w:val="23"/>
  </w:num>
  <w:num w:numId="43">
    <w:abstractNumId w:val="14"/>
  </w:num>
  <w:num w:numId="44">
    <w:abstractNumId w:val="48"/>
  </w:num>
  <w:num w:numId="45">
    <w:abstractNumId w:val="10"/>
  </w:num>
  <w:num w:numId="46">
    <w:abstractNumId w:val="49"/>
  </w:num>
  <w:num w:numId="47">
    <w:abstractNumId w:val="35"/>
  </w:num>
  <w:num w:numId="48">
    <w:abstractNumId w:val="38"/>
  </w:num>
  <w:num w:numId="49">
    <w:abstractNumId w:val="26"/>
  </w:num>
  <w:num w:numId="50">
    <w:abstractNumId w:val="16"/>
  </w:num>
  <w:num w:numId="51">
    <w:abstractNumId w:val="31"/>
  </w:num>
  <w:num w:numId="52">
    <w:abstractNumId w:val="39"/>
  </w:num>
  <w:num w:numId="53">
    <w:abstractNumId w:val="20"/>
  </w:num>
  <w:num w:numId="54">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D1"/>
    <w:rsid w:val="00015506"/>
    <w:rsid w:val="00017AB5"/>
    <w:rsid w:val="00030C6F"/>
    <w:rsid w:val="00033EB1"/>
    <w:rsid w:val="0004147D"/>
    <w:rsid w:val="00047699"/>
    <w:rsid w:val="00062215"/>
    <w:rsid w:val="000648C1"/>
    <w:rsid w:val="0007569D"/>
    <w:rsid w:val="000A1F7E"/>
    <w:rsid w:val="000B123E"/>
    <w:rsid w:val="000D08A2"/>
    <w:rsid w:val="000D2734"/>
    <w:rsid w:val="000D39D8"/>
    <w:rsid w:val="000D5636"/>
    <w:rsid w:val="000E652C"/>
    <w:rsid w:val="000F000C"/>
    <w:rsid w:val="000F5F79"/>
    <w:rsid w:val="00102297"/>
    <w:rsid w:val="001031F2"/>
    <w:rsid w:val="001306D3"/>
    <w:rsid w:val="00131E1B"/>
    <w:rsid w:val="001632A3"/>
    <w:rsid w:val="0016413C"/>
    <w:rsid w:val="001779F3"/>
    <w:rsid w:val="00195D6C"/>
    <w:rsid w:val="0019613E"/>
    <w:rsid w:val="001A0442"/>
    <w:rsid w:val="001A1EAC"/>
    <w:rsid w:val="001B43DC"/>
    <w:rsid w:val="001B5780"/>
    <w:rsid w:val="001C11DD"/>
    <w:rsid w:val="001C1B5D"/>
    <w:rsid w:val="001D53A5"/>
    <w:rsid w:val="001E6C46"/>
    <w:rsid w:val="001F7C7F"/>
    <w:rsid w:val="0020759F"/>
    <w:rsid w:val="002129A7"/>
    <w:rsid w:val="002148D1"/>
    <w:rsid w:val="002152A0"/>
    <w:rsid w:val="0024175E"/>
    <w:rsid w:val="0024345C"/>
    <w:rsid w:val="002442AE"/>
    <w:rsid w:val="00251D1A"/>
    <w:rsid w:val="0028606C"/>
    <w:rsid w:val="002A7DB9"/>
    <w:rsid w:val="002B7EAC"/>
    <w:rsid w:val="00320B15"/>
    <w:rsid w:val="00325190"/>
    <w:rsid w:val="00327F13"/>
    <w:rsid w:val="00340F63"/>
    <w:rsid w:val="0034244E"/>
    <w:rsid w:val="00352BD6"/>
    <w:rsid w:val="0035330C"/>
    <w:rsid w:val="00377DE1"/>
    <w:rsid w:val="0038047C"/>
    <w:rsid w:val="003A28AA"/>
    <w:rsid w:val="003A31A6"/>
    <w:rsid w:val="003C7335"/>
    <w:rsid w:val="003F753B"/>
    <w:rsid w:val="00403395"/>
    <w:rsid w:val="00421AA1"/>
    <w:rsid w:val="004401C2"/>
    <w:rsid w:val="00461D85"/>
    <w:rsid w:val="00475588"/>
    <w:rsid w:val="004940D8"/>
    <w:rsid w:val="004B00F3"/>
    <w:rsid w:val="004B7BAD"/>
    <w:rsid w:val="004C7281"/>
    <w:rsid w:val="004F2E27"/>
    <w:rsid w:val="004F50DF"/>
    <w:rsid w:val="004F51E5"/>
    <w:rsid w:val="00502041"/>
    <w:rsid w:val="00517E91"/>
    <w:rsid w:val="00566451"/>
    <w:rsid w:val="00574B70"/>
    <w:rsid w:val="00576FFC"/>
    <w:rsid w:val="005A5E16"/>
    <w:rsid w:val="005C306E"/>
    <w:rsid w:val="005D36ED"/>
    <w:rsid w:val="005E4A07"/>
    <w:rsid w:val="005E7B61"/>
    <w:rsid w:val="006077D4"/>
    <w:rsid w:val="00635A34"/>
    <w:rsid w:val="00651D0B"/>
    <w:rsid w:val="00656681"/>
    <w:rsid w:val="00664F63"/>
    <w:rsid w:val="00681491"/>
    <w:rsid w:val="00685ADC"/>
    <w:rsid w:val="00695E3B"/>
    <w:rsid w:val="006D16E3"/>
    <w:rsid w:val="006D5B0B"/>
    <w:rsid w:val="00710459"/>
    <w:rsid w:val="00712803"/>
    <w:rsid w:val="0071399B"/>
    <w:rsid w:val="00722924"/>
    <w:rsid w:val="00725229"/>
    <w:rsid w:val="007355E2"/>
    <w:rsid w:val="007519EB"/>
    <w:rsid w:val="0078307B"/>
    <w:rsid w:val="007832F7"/>
    <w:rsid w:val="00784F6D"/>
    <w:rsid w:val="0078774B"/>
    <w:rsid w:val="007921D8"/>
    <w:rsid w:val="00797D59"/>
    <w:rsid w:val="007A7ADE"/>
    <w:rsid w:val="007C19E0"/>
    <w:rsid w:val="007E682E"/>
    <w:rsid w:val="00802B21"/>
    <w:rsid w:val="00804519"/>
    <w:rsid w:val="008130EE"/>
    <w:rsid w:val="00852660"/>
    <w:rsid w:val="00855216"/>
    <w:rsid w:val="008573D2"/>
    <w:rsid w:val="00876B82"/>
    <w:rsid w:val="00892CFE"/>
    <w:rsid w:val="008C7979"/>
    <w:rsid w:val="008E658C"/>
    <w:rsid w:val="008F3160"/>
    <w:rsid w:val="008F31D7"/>
    <w:rsid w:val="009020DA"/>
    <w:rsid w:val="00903647"/>
    <w:rsid w:val="009039DD"/>
    <w:rsid w:val="009066F9"/>
    <w:rsid w:val="00924DD1"/>
    <w:rsid w:val="00946D93"/>
    <w:rsid w:val="00947621"/>
    <w:rsid w:val="00947630"/>
    <w:rsid w:val="009510ED"/>
    <w:rsid w:val="00962CAE"/>
    <w:rsid w:val="00984F03"/>
    <w:rsid w:val="009960A4"/>
    <w:rsid w:val="009B4374"/>
    <w:rsid w:val="009D2E54"/>
    <w:rsid w:val="009D4154"/>
    <w:rsid w:val="009F46EE"/>
    <w:rsid w:val="009F5966"/>
    <w:rsid w:val="00A10D87"/>
    <w:rsid w:val="00A541E6"/>
    <w:rsid w:val="00A613CD"/>
    <w:rsid w:val="00A70FE7"/>
    <w:rsid w:val="00A71567"/>
    <w:rsid w:val="00A719C4"/>
    <w:rsid w:val="00A83AB1"/>
    <w:rsid w:val="00A8774C"/>
    <w:rsid w:val="00AB2198"/>
    <w:rsid w:val="00AB42CE"/>
    <w:rsid w:val="00AB4837"/>
    <w:rsid w:val="00AC50EF"/>
    <w:rsid w:val="00AE21D5"/>
    <w:rsid w:val="00AF0F6D"/>
    <w:rsid w:val="00AF7DC7"/>
    <w:rsid w:val="00B05EFE"/>
    <w:rsid w:val="00B1069D"/>
    <w:rsid w:val="00B26456"/>
    <w:rsid w:val="00B47ECE"/>
    <w:rsid w:val="00B70D45"/>
    <w:rsid w:val="00B83059"/>
    <w:rsid w:val="00B831E0"/>
    <w:rsid w:val="00B85069"/>
    <w:rsid w:val="00B92E22"/>
    <w:rsid w:val="00BA26CD"/>
    <w:rsid w:val="00BA5DF1"/>
    <w:rsid w:val="00BB351A"/>
    <w:rsid w:val="00BE3E70"/>
    <w:rsid w:val="00BE7EA2"/>
    <w:rsid w:val="00C025FE"/>
    <w:rsid w:val="00C43361"/>
    <w:rsid w:val="00C735DF"/>
    <w:rsid w:val="00C8309B"/>
    <w:rsid w:val="00C947EE"/>
    <w:rsid w:val="00C96837"/>
    <w:rsid w:val="00C97CD0"/>
    <w:rsid w:val="00CA636E"/>
    <w:rsid w:val="00CC66DA"/>
    <w:rsid w:val="00CD2B69"/>
    <w:rsid w:val="00CE5DC6"/>
    <w:rsid w:val="00CF5D94"/>
    <w:rsid w:val="00D150B0"/>
    <w:rsid w:val="00D23835"/>
    <w:rsid w:val="00D23874"/>
    <w:rsid w:val="00D4228B"/>
    <w:rsid w:val="00D80FBC"/>
    <w:rsid w:val="00DA0BB9"/>
    <w:rsid w:val="00DB189F"/>
    <w:rsid w:val="00DB7214"/>
    <w:rsid w:val="00DC122B"/>
    <w:rsid w:val="00DC1829"/>
    <w:rsid w:val="00DD6B98"/>
    <w:rsid w:val="00DE5B81"/>
    <w:rsid w:val="00DF1779"/>
    <w:rsid w:val="00E16E40"/>
    <w:rsid w:val="00E2348D"/>
    <w:rsid w:val="00E26BF2"/>
    <w:rsid w:val="00E32C83"/>
    <w:rsid w:val="00E3509E"/>
    <w:rsid w:val="00E679A8"/>
    <w:rsid w:val="00E71417"/>
    <w:rsid w:val="00E81087"/>
    <w:rsid w:val="00EA3517"/>
    <w:rsid w:val="00EA7064"/>
    <w:rsid w:val="00EC6211"/>
    <w:rsid w:val="00ED24AA"/>
    <w:rsid w:val="00ED3D65"/>
    <w:rsid w:val="00F15DA5"/>
    <w:rsid w:val="00F166A0"/>
    <w:rsid w:val="00F17716"/>
    <w:rsid w:val="00F4020E"/>
    <w:rsid w:val="00F417A5"/>
    <w:rsid w:val="00F45479"/>
    <w:rsid w:val="00F457D2"/>
    <w:rsid w:val="00F45D1C"/>
    <w:rsid w:val="00F54094"/>
    <w:rsid w:val="00F71063"/>
    <w:rsid w:val="00F862DC"/>
    <w:rsid w:val="00F86BBE"/>
    <w:rsid w:val="00FA3DE7"/>
    <w:rsid w:val="00FB43C8"/>
    <w:rsid w:val="00FB7921"/>
    <w:rsid w:val="00FD4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AECBF"/>
  <w15:docId w15:val="{EDA0F200-283E-4567-98F1-3696B3EF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20E"/>
  </w:style>
  <w:style w:type="paragraph" w:styleId="Heading1">
    <w:name w:val="heading 1"/>
    <w:basedOn w:val="Normal"/>
    <w:next w:val="Normal"/>
    <w:link w:val="Heading1Char"/>
    <w:uiPriority w:val="9"/>
    <w:qFormat/>
    <w:rsid w:val="00892CFE"/>
    <w:pPr>
      <w:keepNext/>
      <w:keepLines/>
      <w:spacing w:before="240" w:after="12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892CFE"/>
    <w:pPr>
      <w:keepNext/>
      <w:keepLines/>
      <w:spacing w:before="240" w:after="12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892CFE"/>
    <w:pPr>
      <w:keepNext/>
      <w:keepLines/>
      <w:spacing w:before="240"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0339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92CF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F402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020E"/>
  </w:style>
  <w:style w:type="character" w:customStyle="1" w:styleId="Heading1Char">
    <w:name w:val="Heading 1 Char"/>
    <w:basedOn w:val="DefaultParagraphFont"/>
    <w:link w:val="Heading1"/>
    <w:uiPriority w:val="9"/>
    <w:rsid w:val="00892CFE"/>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892CFE"/>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892CFE"/>
    <w:rPr>
      <w:rFonts w:ascii="Arial" w:eastAsiaTheme="majorEastAsia" w:hAnsi="Arial" w:cstheme="majorBidi"/>
      <w:sz w:val="24"/>
      <w:szCs w:val="24"/>
    </w:rPr>
  </w:style>
  <w:style w:type="character" w:customStyle="1" w:styleId="Heading5Char">
    <w:name w:val="Heading 5 Char"/>
    <w:basedOn w:val="DefaultParagraphFont"/>
    <w:link w:val="Heading5"/>
    <w:uiPriority w:val="9"/>
    <w:rsid w:val="00892CFE"/>
    <w:rPr>
      <w:rFonts w:asciiTheme="majorHAnsi" w:eastAsiaTheme="majorEastAsia" w:hAnsiTheme="majorHAnsi" w:cstheme="majorBidi"/>
      <w:color w:val="2E74B5" w:themeColor="accent1" w:themeShade="BF"/>
      <w:sz w:val="24"/>
    </w:rPr>
  </w:style>
  <w:style w:type="paragraph" w:styleId="ListParagraph">
    <w:name w:val="List Paragraph"/>
    <w:basedOn w:val="Normal"/>
    <w:uiPriority w:val="34"/>
    <w:qFormat/>
    <w:rsid w:val="00892CFE"/>
    <w:pPr>
      <w:numPr>
        <w:numId w:val="1"/>
      </w:numPr>
      <w:contextualSpacing/>
    </w:pPr>
  </w:style>
  <w:style w:type="paragraph" w:styleId="NoSpacing">
    <w:name w:val="No Spacing"/>
    <w:uiPriority w:val="1"/>
    <w:qFormat/>
    <w:rsid w:val="00892CFE"/>
    <w:pPr>
      <w:spacing w:after="0" w:line="240" w:lineRule="auto"/>
    </w:pPr>
    <w:rPr>
      <w:rFonts w:ascii="Arial" w:hAnsi="Arial"/>
    </w:rPr>
  </w:style>
  <w:style w:type="paragraph" w:styleId="Title">
    <w:name w:val="Title"/>
    <w:basedOn w:val="Normal"/>
    <w:next w:val="Normal"/>
    <w:link w:val="TitleChar"/>
    <w:uiPriority w:val="10"/>
    <w:qFormat/>
    <w:rsid w:val="00892CFE"/>
    <w:pPr>
      <w:spacing w:after="240" w:line="240"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892CFE"/>
    <w:rPr>
      <w:rFonts w:ascii="Arial" w:eastAsiaTheme="majorEastAsia" w:hAnsi="Arial" w:cstheme="majorBidi"/>
      <w:spacing w:val="-10"/>
      <w:kern w:val="28"/>
      <w:sz w:val="36"/>
      <w:szCs w:val="56"/>
    </w:rPr>
  </w:style>
  <w:style w:type="paragraph" w:styleId="List">
    <w:name w:val="List"/>
    <w:basedOn w:val="Normal"/>
    <w:uiPriority w:val="99"/>
    <w:unhideWhenUsed/>
    <w:rsid w:val="00892CFE"/>
    <w:pPr>
      <w:ind w:left="360" w:hanging="360"/>
      <w:contextualSpacing/>
    </w:pPr>
  </w:style>
  <w:style w:type="paragraph" w:styleId="ListBullet">
    <w:name w:val="List Bullet"/>
    <w:basedOn w:val="Normal"/>
    <w:uiPriority w:val="99"/>
    <w:unhideWhenUsed/>
    <w:rsid w:val="00892CFE"/>
    <w:pPr>
      <w:numPr>
        <w:numId w:val="11"/>
      </w:numPr>
      <w:contextualSpacing/>
    </w:pPr>
  </w:style>
  <w:style w:type="paragraph" w:styleId="ListNumber">
    <w:name w:val="List Number"/>
    <w:basedOn w:val="Normal"/>
    <w:uiPriority w:val="99"/>
    <w:unhideWhenUsed/>
    <w:rsid w:val="00892CFE"/>
    <w:pPr>
      <w:numPr>
        <w:numId w:val="7"/>
      </w:numPr>
      <w:tabs>
        <w:tab w:val="clear" w:pos="360"/>
        <w:tab w:val="num" w:pos="720"/>
      </w:tabs>
      <w:ind w:left="720"/>
      <w:contextualSpacing/>
    </w:pPr>
  </w:style>
  <w:style w:type="paragraph" w:styleId="TOC1">
    <w:name w:val="toc 1"/>
    <w:basedOn w:val="Normal"/>
    <w:next w:val="Normal"/>
    <w:autoRedefine/>
    <w:uiPriority w:val="39"/>
    <w:unhideWhenUsed/>
    <w:qFormat/>
    <w:rsid w:val="00892CFE"/>
    <w:pPr>
      <w:tabs>
        <w:tab w:val="right" w:pos="9360"/>
      </w:tabs>
      <w:spacing w:after="60" w:line="240" w:lineRule="auto"/>
    </w:pPr>
  </w:style>
  <w:style w:type="paragraph" w:styleId="TOC3">
    <w:name w:val="toc 3"/>
    <w:basedOn w:val="Normal"/>
    <w:next w:val="Normal"/>
    <w:autoRedefine/>
    <w:uiPriority w:val="39"/>
    <w:unhideWhenUsed/>
    <w:qFormat/>
    <w:rsid w:val="00892CFE"/>
    <w:pPr>
      <w:spacing w:after="100"/>
      <w:ind w:left="480"/>
    </w:pPr>
  </w:style>
  <w:style w:type="paragraph" w:styleId="ListNumber2">
    <w:name w:val="List Number 2"/>
    <w:basedOn w:val="Normal"/>
    <w:autoRedefine/>
    <w:uiPriority w:val="99"/>
    <w:unhideWhenUsed/>
    <w:qFormat/>
    <w:rsid w:val="00892CFE"/>
    <w:pPr>
      <w:numPr>
        <w:numId w:val="8"/>
      </w:numPr>
      <w:tabs>
        <w:tab w:val="left" w:pos="1440"/>
      </w:tabs>
      <w:contextualSpacing/>
    </w:pPr>
  </w:style>
  <w:style w:type="paragraph" w:styleId="BodyText">
    <w:name w:val="Body Text"/>
    <w:basedOn w:val="Normal"/>
    <w:link w:val="BodyTextChar"/>
    <w:uiPriority w:val="1"/>
    <w:qFormat/>
    <w:rsid w:val="00712803"/>
    <w:pPr>
      <w:widowControl w:val="0"/>
      <w:spacing w:line="240" w:lineRule="auto"/>
      <w:ind w:left="118"/>
    </w:pPr>
    <w:rPr>
      <w:rFonts w:eastAsia="Arial"/>
      <w:sz w:val="20"/>
      <w:szCs w:val="20"/>
    </w:rPr>
  </w:style>
  <w:style w:type="character" w:customStyle="1" w:styleId="BodyTextChar">
    <w:name w:val="Body Text Char"/>
    <w:basedOn w:val="DefaultParagraphFont"/>
    <w:link w:val="BodyText"/>
    <w:uiPriority w:val="1"/>
    <w:rsid w:val="00712803"/>
    <w:rPr>
      <w:rFonts w:ascii="Arial" w:eastAsia="Arial" w:hAnsi="Arial"/>
      <w:sz w:val="20"/>
      <w:szCs w:val="20"/>
    </w:rPr>
  </w:style>
  <w:style w:type="paragraph" w:styleId="Header">
    <w:name w:val="header"/>
    <w:basedOn w:val="Normal"/>
    <w:link w:val="HeaderChar"/>
    <w:uiPriority w:val="99"/>
    <w:unhideWhenUsed/>
    <w:rsid w:val="00340F63"/>
    <w:pPr>
      <w:tabs>
        <w:tab w:val="center" w:pos="4680"/>
        <w:tab w:val="right" w:pos="9360"/>
      </w:tabs>
      <w:spacing w:line="240" w:lineRule="auto"/>
    </w:pPr>
  </w:style>
  <w:style w:type="character" w:customStyle="1" w:styleId="HeaderChar">
    <w:name w:val="Header Char"/>
    <w:basedOn w:val="DefaultParagraphFont"/>
    <w:link w:val="Header"/>
    <w:uiPriority w:val="99"/>
    <w:rsid w:val="00340F63"/>
    <w:rPr>
      <w:rFonts w:ascii="Arial" w:hAnsi="Arial"/>
      <w:sz w:val="24"/>
    </w:rPr>
  </w:style>
  <w:style w:type="paragraph" w:styleId="Footer">
    <w:name w:val="footer"/>
    <w:basedOn w:val="Normal"/>
    <w:link w:val="FooterChar"/>
    <w:uiPriority w:val="99"/>
    <w:unhideWhenUsed/>
    <w:rsid w:val="00340F63"/>
    <w:pPr>
      <w:tabs>
        <w:tab w:val="center" w:pos="4680"/>
        <w:tab w:val="right" w:pos="9360"/>
      </w:tabs>
      <w:spacing w:line="240" w:lineRule="auto"/>
    </w:pPr>
  </w:style>
  <w:style w:type="character" w:customStyle="1" w:styleId="FooterChar">
    <w:name w:val="Footer Char"/>
    <w:basedOn w:val="DefaultParagraphFont"/>
    <w:link w:val="Footer"/>
    <w:uiPriority w:val="99"/>
    <w:rsid w:val="00340F63"/>
    <w:rPr>
      <w:rFonts w:ascii="Arial" w:hAnsi="Arial"/>
      <w:sz w:val="24"/>
    </w:rPr>
  </w:style>
  <w:style w:type="character" w:styleId="Hyperlink">
    <w:name w:val="Hyperlink"/>
    <w:basedOn w:val="DefaultParagraphFont"/>
    <w:uiPriority w:val="99"/>
    <w:unhideWhenUsed/>
    <w:rsid w:val="00017AB5"/>
    <w:rPr>
      <w:color w:val="0563C1" w:themeColor="hyperlink"/>
      <w:u w:val="single"/>
    </w:rPr>
  </w:style>
  <w:style w:type="table" w:styleId="TableGrid">
    <w:name w:val="Table Grid"/>
    <w:basedOn w:val="TableNormal"/>
    <w:uiPriority w:val="39"/>
    <w:rsid w:val="0065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0F6D"/>
    <w:rPr>
      <w:sz w:val="16"/>
      <w:szCs w:val="16"/>
    </w:rPr>
  </w:style>
  <w:style w:type="paragraph" w:styleId="CommentText">
    <w:name w:val="annotation text"/>
    <w:basedOn w:val="Normal"/>
    <w:link w:val="CommentTextChar"/>
    <w:uiPriority w:val="99"/>
    <w:semiHidden/>
    <w:unhideWhenUsed/>
    <w:rsid w:val="00AF0F6D"/>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AF0F6D"/>
    <w:rPr>
      <w:sz w:val="20"/>
      <w:szCs w:val="20"/>
    </w:rPr>
  </w:style>
  <w:style w:type="paragraph" w:styleId="BalloonText">
    <w:name w:val="Balloon Text"/>
    <w:basedOn w:val="Normal"/>
    <w:link w:val="BalloonTextChar"/>
    <w:uiPriority w:val="99"/>
    <w:semiHidden/>
    <w:unhideWhenUsed/>
    <w:rsid w:val="00AF0F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F6D"/>
    <w:rPr>
      <w:rFonts w:ascii="Segoe UI" w:hAnsi="Segoe UI" w:cs="Segoe UI"/>
      <w:sz w:val="18"/>
      <w:szCs w:val="18"/>
    </w:rPr>
  </w:style>
  <w:style w:type="character" w:styleId="SubtleEmphasis">
    <w:name w:val="Subtle Emphasis"/>
    <w:basedOn w:val="DefaultParagraphFont"/>
    <w:uiPriority w:val="19"/>
    <w:qFormat/>
    <w:rsid w:val="00131E1B"/>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A70FE7"/>
    <w:pPr>
      <w:widowControl/>
      <w:spacing w:before="120"/>
    </w:pPr>
    <w:rPr>
      <w:rFonts w:ascii="Arial" w:hAnsi="Arial"/>
      <w:b/>
      <w:bCs/>
    </w:rPr>
  </w:style>
  <w:style w:type="character" w:customStyle="1" w:styleId="CommentSubjectChar">
    <w:name w:val="Comment Subject Char"/>
    <w:basedOn w:val="CommentTextChar"/>
    <w:link w:val="CommentSubject"/>
    <w:uiPriority w:val="99"/>
    <w:semiHidden/>
    <w:rsid w:val="00A70FE7"/>
    <w:rPr>
      <w:rFonts w:ascii="Arial" w:hAnsi="Arial"/>
      <w:b/>
      <w:bCs/>
      <w:sz w:val="20"/>
      <w:szCs w:val="20"/>
    </w:rPr>
  </w:style>
  <w:style w:type="character" w:styleId="FollowedHyperlink">
    <w:name w:val="FollowedHyperlink"/>
    <w:basedOn w:val="DefaultParagraphFont"/>
    <w:uiPriority w:val="99"/>
    <w:semiHidden/>
    <w:unhideWhenUsed/>
    <w:rsid w:val="009F46EE"/>
    <w:rPr>
      <w:color w:val="954F72" w:themeColor="followedHyperlink"/>
      <w:u w:val="single"/>
    </w:rPr>
  </w:style>
  <w:style w:type="paragraph" w:styleId="TOCHeading">
    <w:name w:val="TOC Heading"/>
    <w:basedOn w:val="Heading1"/>
    <w:next w:val="Normal"/>
    <w:uiPriority w:val="39"/>
    <w:unhideWhenUsed/>
    <w:qFormat/>
    <w:rsid w:val="003A28AA"/>
    <w:pPr>
      <w:spacing w:after="0"/>
      <w:outlineLvl w:val="9"/>
    </w:pPr>
    <w:rPr>
      <w:rFonts w:asciiTheme="majorHAnsi" w:hAnsiTheme="majorHAnsi"/>
      <w:color w:val="2E74B5" w:themeColor="accent1" w:themeShade="BF"/>
    </w:rPr>
  </w:style>
  <w:style w:type="paragraph" w:styleId="TOC2">
    <w:name w:val="toc 2"/>
    <w:basedOn w:val="Normal"/>
    <w:next w:val="Normal"/>
    <w:autoRedefine/>
    <w:uiPriority w:val="39"/>
    <w:unhideWhenUsed/>
    <w:rsid w:val="003A28AA"/>
    <w:pPr>
      <w:spacing w:after="100"/>
      <w:ind w:left="240"/>
    </w:pPr>
  </w:style>
  <w:style w:type="character" w:customStyle="1" w:styleId="Heading4Char">
    <w:name w:val="Heading 4 Char"/>
    <w:basedOn w:val="DefaultParagraphFont"/>
    <w:link w:val="Heading4"/>
    <w:uiPriority w:val="9"/>
    <w:rsid w:val="00403395"/>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49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trentu.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braryhelp@trentu.ca" TargetMode="External"/><Relationship Id="rId4" Type="http://schemas.openxmlformats.org/officeDocument/2006/relationships/settings" Target="settings.xml"/><Relationship Id="rId9" Type="http://schemas.openxmlformats.org/officeDocument/2006/relationships/hyperlink" Target="mailto:access@trent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ADAE7-7953-4824-B7B0-AE03533B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5959</Words>
  <Characters>33970</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Walsh</dc:creator>
  <cp:keywords/>
  <dc:description/>
  <cp:lastModifiedBy>Andrea Walsh</cp:lastModifiedBy>
  <cp:revision>2</cp:revision>
  <cp:lastPrinted>2016-11-02T16:43:00Z</cp:lastPrinted>
  <dcterms:created xsi:type="dcterms:W3CDTF">2017-11-23T15:56:00Z</dcterms:created>
  <dcterms:modified xsi:type="dcterms:W3CDTF">2017-11-23T15:56:00Z</dcterms:modified>
</cp:coreProperties>
</file>