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F3CA" w14:textId="46CCDA60" w:rsidR="00A54A73" w:rsidRDefault="004F3720" w:rsidP="008548AA">
      <w:pPr>
        <w:pStyle w:val="Heading1"/>
        <w:rPr>
          <w:b/>
          <w:color w:val="auto"/>
          <w:lang w:val="en-US"/>
        </w:rPr>
      </w:pPr>
      <w:bookmarkStart w:id="0" w:name="_Toc58245601"/>
      <w:r>
        <w:rPr>
          <w:b/>
          <w:color w:val="auto"/>
          <w:lang w:val="en-US"/>
        </w:rPr>
        <w:t xml:space="preserve">AODA </w:t>
      </w:r>
      <w:r w:rsidR="001E352A" w:rsidRPr="008548AA">
        <w:rPr>
          <w:b/>
          <w:color w:val="auto"/>
          <w:lang w:val="en-US"/>
        </w:rPr>
        <w:t>Mu</w:t>
      </w:r>
      <w:r w:rsidR="00E45507">
        <w:rPr>
          <w:b/>
          <w:color w:val="auto"/>
          <w:lang w:val="en-US"/>
        </w:rPr>
        <w:t xml:space="preserve">lti-Year Accessibility Plan: </w:t>
      </w:r>
      <w:r w:rsidR="00642BE7">
        <w:rPr>
          <w:b/>
          <w:color w:val="auto"/>
          <w:lang w:val="en-US"/>
        </w:rPr>
        <w:t>20</w:t>
      </w:r>
      <w:r w:rsidR="00F45457">
        <w:rPr>
          <w:b/>
          <w:color w:val="auto"/>
          <w:lang w:val="en-US"/>
        </w:rPr>
        <w:t>20</w:t>
      </w:r>
      <w:r w:rsidR="00E2279D" w:rsidRPr="008548AA">
        <w:rPr>
          <w:b/>
          <w:color w:val="auto"/>
          <w:lang w:val="en-US"/>
        </w:rPr>
        <w:t xml:space="preserve"> Update</w:t>
      </w:r>
      <w:bookmarkEnd w:id="0"/>
    </w:p>
    <w:p w14:paraId="093937FF" w14:textId="5AA66B20" w:rsidR="00E170A9" w:rsidRPr="00781ECD" w:rsidRDefault="006E2F0E" w:rsidP="00122EC0">
      <w:pPr>
        <w:spacing w:before="240" w:after="240"/>
        <w:rPr>
          <w:sz w:val="24"/>
          <w:szCs w:val="24"/>
          <w:lang w:val="en-US"/>
        </w:rPr>
      </w:pPr>
      <w:r w:rsidRPr="00781ECD">
        <w:rPr>
          <w:sz w:val="24"/>
          <w:szCs w:val="24"/>
          <w:lang w:val="en-US"/>
        </w:rPr>
        <w:t>Alternative accessible formats</w:t>
      </w:r>
      <w:r w:rsidR="00720781">
        <w:rPr>
          <w:sz w:val="24"/>
          <w:szCs w:val="24"/>
          <w:lang w:val="en-US"/>
        </w:rPr>
        <w:t xml:space="preserve"> and communication supports</w:t>
      </w:r>
      <w:r w:rsidRPr="00781ECD">
        <w:rPr>
          <w:sz w:val="24"/>
          <w:szCs w:val="24"/>
          <w:lang w:val="en-US"/>
        </w:rPr>
        <w:t xml:space="preserve"> available upon request to </w:t>
      </w:r>
      <w:hyperlink r:id="rId8" w:history="1">
        <w:r w:rsidRPr="00C849B2">
          <w:rPr>
            <w:rStyle w:val="Hyperlink"/>
            <w:sz w:val="24"/>
            <w:szCs w:val="24"/>
            <w:lang w:val="en-US"/>
          </w:rPr>
          <w:t>access@trentu.c</w:t>
        </w:r>
        <w:r w:rsidR="0058745B" w:rsidRPr="00C849B2">
          <w:rPr>
            <w:rStyle w:val="Hyperlink"/>
            <w:sz w:val="24"/>
            <w:szCs w:val="24"/>
            <w:lang w:val="en-US"/>
          </w:rPr>
          <w:t>a</w:t>
        </w:r>
      </w:hyperlink>
    </w:p>
    <w:sdt>
      <w:sdtPr>
        <w:rPr>
          <w:rFonts w:eastAsia="Times New Roman" w:cs="Times New Roman"/>
          <w:color w:val="auto"/>
          <w:sz w:val="22"/>
          <w:szCs w:val="20"/>
          <w:lang w:val="en-CA"/>
        </w:rPr>
        <w:id w:val="-12832538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25DA2C" w14:textId="77777777" w:rsidR="00E170A9" w:rsidRPr="00DB0F44" w:rsidRDefault="00E170A9">
          <w:pPr>
            <w:pStyle w:val="TOCHeading"/>
            <w:rPr>
              <w:color w:val="auto"/>
            </w:rPr>
          </w:pPr>
          <w:r w:rsidRPr="00DB0F44">
            <w:rPr>
              <w:color w:val="auto"/>
            </w:rPr>
            <w:t>Contents</w:t>
          </w:r>
        </w:p>
        <w:p w14:paraId="761439AA" w14:textId="4010AEBC" w:rsidR="00AF57A5" w:rsidRDefault="00E170A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245601" w:history="1">
            <w:r w:rsidR="00AF57A5" w:rsidRPr="00775D49">
              <w:rPr>
                <w:rStyle w:val="Hyperlink"/>
                <w:b/>
                <w:noProof/>
                <w:lang w:val="en-US"/>
              </w:rPr>
              <w:t>AODA Multi-Year Accessibility Plan: 2020 Update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_Toc58245601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1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00F52D8A" w14:textId="31B3E201" w:rsidR="00AF57A5" w:rsidRDefault="00F7592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02" w:history="1">
            <w:r w:rsidR="00AF57A5" w:rsidRPr="00775D49">
              <w:rPr>
                <w:rStyle w:val="Hyperlink"/>
                <w:noProof/>
              </w:rPr>
              <w:t>Introduction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_Toc58245602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2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58E0C77F" w14:textId="751E4D64" w:rsidR="00AF57A5" w:rsidRDefault="00F7592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03" w:history="1">
            <w:r w:rsidR="00AF57A5" w:rsidRPr="00775D49">
              <w:rPr>
                <w:rStyle w:val="Hyperlink"/>
                <w:noProof/>
              </w:rPr>
              <w:t>Compliance Requirements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_Toc58245603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3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42522E1A" w14:textId="53419585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04" w:history="1">
            <w:r w:rsidR="00AF57A5" w:rsidRPr="00775D49">
              <w:rPr>
                <w:rStyle w:val="Hyperlink"/>
                <w:noProof/>
              </w:rPr>
              <w:t>Annual Status Report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_Toc58245604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3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65BF6E04" w14:textId="006B0228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05" w:history="1">
            <w:r w:rsidR="00AF57A5" w:rsidRPr="00775D49">
              <w:rPr>
                <w:rStyle w:val="Hyperlink"/>
                <w:noProof/>
              </w:rPr>
              <w:t>AODA Compliance Report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_Toc58245605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3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7BEC6FBC" w14:textId="04F52A8C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06" w:history="1">
            <w:r w:rsidR="00AF57A5" w:rsidRPr="00775D49">
              <w:rPr>
                <w:rStyle w:val="Hyperlink"/>
                <w:noProof/>
                <w:lang w:val="en-US"/>
              </w:rPr>
              <w:t>IASR Section 7 – Training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_Toc58245606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3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388768CC" w14:textId="7AB73B92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07" w:history="1">
            <w:r w:rsidR="00AF57A5" w:rsidRPr="00775D49">
              <w:rPr>
                <w:rStyle w:val="Hyperlink"/>
                <w:noProof/>
                <w:lang w:val="en-US"/>
              </w:rPr>
              <w:t>IASR Section 14 – Accessible Websites and Web Content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_Toc58245607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3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3DCC2A5C" w14:textId="5F5F19B2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08" w:history="1">
            <w:r w:rsidR="00AF57A5" w:rsidRPr="00775D49">
              <w:rPr>
                <w:rStyle w:val="Hyperlink"/>
                <w:rFonts w:cs="Arial"/>
                <w:noProof/>
                <w:lang w:val="en-US"/>
              </w:rPr>
              <w:t xml:space="preserve">IASR </w:t>
            </w:r>
            <w:r w:rsidR="00AF57A5" w:rsidRPr="00775D49">
              <w:rPr>
                <w:rStyle w:val="Hyperlink"/>
                <w:noProof/>
                <w:lang w:val="en-US"/>
              </w:rPr>
              <w:t>Section 15 – Educational and Training Resources and Materials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_Toc58245608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4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5C81D380" w14:textId="04C06795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09" w:history="1">
            <w:r w:rsidR="00AF57A5" w:rsidRPr="00775D49">
              <w:rPr>
                <w:rStyle w:val="Hyperlink"/>
                <w:rFonts w:cs="Arial"/>
                <w:noProof/>
                <w:lang w:val="en-US"/>
              </w:rPr>
              <w:t xml:space="preserve">IASR </w:t>
            </w:r>
            <w:r w:rsidR="00AF57A5" w:rsidRPr="00775D49">
              <w:rPr>
                <w:rStyle w:val="Hyperlink"/>
                <w:noProof/>
                <w:lang w:val="en-US"/>
              </w:rPr>
              <w:t>Section 16 – Training for Educators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_Toc58245609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4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7B9BCBA9" w14:textId="5E3F74D4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10" w:history="1">
            <w:r w:rsidR="00AF57A5" w:rsidRPr="00775D49">
              <w:rPr>
                <w:rStyle w:val="Hyperlink"/>
                <w:noProof/>
                <w:lang w:val="en-US"/>
              </w:rPr>
              <w:t>IASR Section 18 – Libraries of Educational and Training Institutions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_Toc58245610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4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22E0FD65" w14:textId="467D6070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11" w:history="1">
            <w:r w:rsidR="00AF57A5" w:rsidRPr="00775D49">
              <w:rPr>
                <w:rStyle w:val="Hyperlink"/>
                <w:rFonts w:cs="Arial"/>
                <w:noProof/>
                <w:lang w:val="en-US"/>
              </w:rPr>
              <w:t xml:space="preserve">IASR </w:t>
            </w:r>
            <w:r w:rsidR="00AF57A5" w:rsidRPr="00775D49">
              <w:rPr>
                <w:rStyle w:val="Hyperlink"/>
                <w:noProof/>
                <w:lang w:val="en-US"/>
              </w:rPr>
              <w:t>Section 27 –Workplace Emergency Response Information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_Toc58245611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5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2C65CDDB" w14:textId="328084AC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12" w:history="1">
            <w:r w:rsidR="00AF57A5" w:rsidRPr="00775D49">
              <w:rPr>
                <w:rStyle w:val="Hyperlink"/>
                <w:noProof/>
                <w:lang w:val="en-US"/>
              </w:rPr>
              <w:t>IASR Section 80.1 – 80.44 Design of Public Spaces Standard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_Toc58245612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5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58970CF2" w14:textId="4879CEB5" w:rsidR="00AF57A5" w:rsidRDefault="00F7592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13" w:history="1">
            <w:r w:rsidR="00AF57A5" w:rsidRPr="00775D49">
              <w:rPr>
                <w:rStyle w:val="Hyperlink"/>
                <w:noProof/>
                <w:lang w:val="en-US"/>
              </w:rPr>
              <w:t>IASR Section 80.49 – Customer Service Standard Training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_Toc58245613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5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35D87735" w14:textId="6D68E651" w:rsidR="00AF57A5" w:rsidRDefault="00F7592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58245614" w:history="1">
            <w:r w:rsidR="00AF57A5" w:rsidRPr="00775D49">
              <w:rPr>
                <w:rStyle w:val="Hyperlink"/>
                <w:noProof/>
              </w:rPr>
              <w:t>Contact</w:t>
            </w:r>
            <w:r w:rsidR="00AF57A5">
              <w:rPr>
                <w:noProof/>
                <w:webHidden/>
              </w:rPr>
              <w:tab/>
            </w:r>
            <w:r w:rsidR="00AF57A5">
              <w:rPr>
                <w:noProof/>
                <w:webHidden/>
              </w:rPr>
              <w:fldChar w:fldCharType="begin"/>
            </w:r>
            <w:r w:rsidR="00AF57A5">
              <w:rPr>
                <w:noProof/>
                <w:webHidden/>
              </w:rPr>
              <w:instrText xml:space="preserve"> PAGEREF _Toc58245614 \h </w:instrText>
            </w:r>
            <w:r w:rsidR="00AF57A5">
              <w:rPr>
                <w:noProof/>
                <w:webHidden/>
              </w:rPr>
            </w:r>
            <w:r w:rsidR="00AF57A5">
              <w:rPr>
                <w:noProof/>
                <w:webHidden/>
              </w:rPr>
              <w:fldChar w:fldCharType="separate"/>
            </w:r>
            <w:r w:rsidR="00AF57A5">
              <w:rPr>
                <w:noProof/>
                <w:webHidden/>
              </w:rPr>
              <w:t>6</w:t>
            </w:r>
            <w:r w:rsidR="00AF57A5">
              <w:rPr>
                <w:noProof/>
                <w:webHidden/>
              </w:rPr>
              <w:fldChar w:fldCharType="end"/>
            </w:r>
          </w:hyperlink>
        </w:p>
        <w:p w14:paraId="775C4AC1" w14:textId="4DDB6DE8" w:rsidR="00E170A9" w:rsidRDefault="00E170A9">
          <w:r>
            <w:rPr>
              <w:b/>
              <w:bCs/>
              <w:noProof/>
            </w:rPr>
            <w:fldChar w:fldCharType="end"/>
          </w:r>
        </w:p>
      </w:sdtContent>
    </w:sdt>
    <w:p w14:paraId="1380A74A" w14:textId="3150E453" w:rsidR="00E170A9" w:rsidRPr="00E45507" w:rsidRDefault="006E2F0E" w:rsidP="0015740F">
      <w:pPr>
        <w:pStyle w:val="Heading2"/>
        <w:spacing w:after="100" w:afterAutospacing="1"/>
        <w:rPr>
          <w:lang w:val="en-US"/>
        </w:rPr>
      </w:pPr>
      <w:r>
        <w:rPr>
          <w:lang w:val="en-US"/>
        </w:rPr>
        <w:br w:type="page"/>
      </w:r>
      <w:bookmarkStart w:id="1" w:name="_Toc58245602"/>
      <w:r w:rsidR="00E170A9" w:rsidRPr="0015740F">
        <w:rPr>
          <w:color w:val="auto"/>
        </w:rPr>
        <w:lastRenderedPageBreak/>
        <w:t>Introduction</w:t>
      </w:r>
      <w:bookmarkEnd w:id="1"/>
      <w:r w:rsidR="00E170A9" w:rsidRPr="0015740F">
        <w:rPr>
          <w:color w:val="auto"/>
          <w:lang w:val="en-US"/>
        </w:rPr>
        <w:t xml:space="preserve"> </w:t>
      </w:r>
    </w:p>
    <w:p w14:paraId="5E5F83B9" w14:textId="6166F7F3" w:rsidR="00E16549" w:rsidRPr="00E1203D" w:rsidRDefault="00A54A73" w:rsidP="0015740F">
      <w:pPr>
        <w:autoSpaceDE w:val="0"/>
        <w:autoSpaceDN w:val="0"/>
        <w:adjustRightInd w:val="0"/>
        <w:spacing w:after="100" w:afterAutospacing="1"/>
        <w:rPr>
          <w:rFonts w:cs="Arial"/>
          <w:sz w:val="24"/>
          <w:szCs w:val="24"/>
        </w:rPr>
      </w:pPr>
      <w:r w:rsidRPr="00E1203D">
        <w:rPr>
          <w:rFonts w:cs="Arial"/>
          <w:sz w:val="24"/>
          <w:szCs w:val="24"/>
        </w:rPr>
        <w:t xml:space="preserve">The </w:t>
      </w:r>
      <w:r w:rsidRPr="00122EC0">
        <w:rPr>
          <w:rFonts w:cs="Arial"/>
          <w:sz w:val="24"/>
          <w:szCs w:val="24"/>
        </w:rPr>
        <w:t>Accessibility for Ontarians with Disabilities Act</w:t>
      </w:r>
      <w:r w:rsidRPr="000A3869">
        <w:rPr>
          <w:rFonts w:cs="Arial"/>
          <w:sz w:val="24"/>
          <w:szCs w:val="24"/>
        </w:rPr>
        <w:t xml:space="preserve"> (AODA</w:t>
      </w:r>
      <w:r w:rsidRPr="00E1203D">
        <w:rPr>
          <w:rFonts w:cs="Arial"/>
          <w:sz w:val="24"/>
          <w:szCs w:val="24"/>
        </w:rPr>
        <w:t xml:space="preserve">) came into effect in Ontario in 2005. The </w:t>
      </w:r>
      <w:r w:rsidRPr="00122EC0">
        <w:rPr>
          <w:rFonts w:cs="Arial"/>
          <w:sz w:val="24"/>
          <w:szCs w:val="24"/>
        </w:rPr>
        <w:t>AODA</w:t>
      </w:r>
      <w:r w:rsidRPr="00E1203D">
        <w:rPr>
          <w:rFonts w:cs="Arial"/>
          <w:sz w:val="24"/>
          <w:szCs w:val="24"/>
        </w:rPr>
        <w:t xml:space="preserve"> applies to both the public and private sectors and its goal is to ensure that all Ontarians with disabilities have </w:t>
      </w:r>
      <w:r w:rsidR="00AF237D">
        <w:rPr>
          <w:rFonts w:cs="Arial"/>
          <w:sz w:val="24"/>
          <w:szCs w:val="24"/>
        </w:rPr>
        <w:t xml:space="preserve">full access to goods, services, </w:t>
      </w:r>
      <w:r w:rsidRPr="00E1203D">
        <w:rPr>
          <w:rFonts w:cs="Arial"/>
          <w:sz w:val="24"/>
          <w:szCs w:val="24"/>
        </w:rPr>
        <w:t xml:space="preserve">facilities, accommodation, employment, building structures and premises by January 1, 2025. This goal is being achieved through the development, </w:t>
      </w:r>
      <w:proofErr w:type="gramStart"/>
      <w:r w:rsidRPr="00E1203D">
        <w:rPr>
          <w:rFonts w:cs="Arial"/>
          <w:sz w:val="24"/>
          <w:szCs w:val="24"/>
        </w:rPr>
        <w:t>implementation</w:t>
      </w:r>
      <w:proofErr w:type="gramEnd"/>
      <w:r w:rsidRPr="00E1203D">
        <w:rPr>
          <w:rFonts w:cs="Arial"/>
          <w:sz w:val="24"/>
          <w:szCs w:val="24"/>
        </w:rPr>
        <w:t xml:space="preserve"> and enforcement of </w:t>
      </w:r>
      <w:r w:rsidR="00811687" w:rsidRPr="00E1203D">
        <w:rPr>
          <w:rFonts w:cs="Arial"/>
          <w:sz w:val="24"/>
          <w:szCs w:val="24"/>
        </w:rPr>
        <w:t>provincially set</w:t>
      </w:r>
      <w:r w:rsidRPr="00E1203D">
        <w:rPr>
          <w:rFonts w:cs="Arial"/>
          <w:sz w:val="24"/>
          <w:szCs w:val="24"/>
        </w:rPr>
        <w:t xml:space="preserve"> accessibility standards. </w:t>
      </w:r>
    </w:p>
    <w:p w14:paraId="114D3690" w14:textId="77777777" w:rsidR="002D59F1" w:rsidRDefault="00E16549" w:rsidP="00E1654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1203D">
        <w:rPr>
          <w:rFonts w:cs="Arial"/>
          <w:sz w:val="24"/>
          <w:szCs w:val="24"/>
        </w:rPr>
        <w:t xml:space="preserve">Trent University is committed to a learning and working environment </w:t>
      </w:r>
      <w:r w:rsidR="00246683">
        <w:rPr>
          <w:rFonts w:cs="Arial"/>
          <w:sz w:val="24"/>
          <w:szCs w:val="24"/>
        </w:rPr>
        <w:t>that</w:t>
      </w:r>
      <w:r w:rsidRPr="00E1203D">
        <w:rPr>
          <w:rFonts w:cs="Arial"/>
          <w:sz w:val="24"/>
          <w:szCs w:val="24"/>
        </w:rPr>
        <w:t xml:space="preserve"> provides </w:t>
      </w:r>
      <w:r w:rsidR="00067216" w:rsidRPr="00E1203D">
        <w:rPr>
          <w:rFonts w:cs="Arial"/>
          <w:sz w:val="24"/>
          <w:szCs w:val="24"/>
        </w:rPr>
        <w:t xml:space="preserve">opportunities for </w:t>
      </w:r>
      <w:r w:rsidRPr="00E1203D">
        <w:rPr>
          <w:rFonts w:cs="Arial"/>
          <w:sz w:val="24"/>
          <w:szCs w:val="24"/>
        </w:rPr>
        <w:t xml:space="preserve">development </w:t>
      </w:r>
      <w:r w:rsidR="00067216" w:rsidRPr="00E1203D">
        <w:rPr>
          <w:rFonts w:cs="Arial"/>
          <w:sz w:val="24"/>
          <w:szCs w:val="24"/>
        </w:rPr>
        <w:t xml:space="preserve">and growth for </w:t>
      </w:r>
      <w:r w:rsidRPr="00E1203D">
        <w:rPr>
          <w:rFonts w:cs="Arial"/>
          <w:sz w:val="24"/>
          <w:szCs w:val="24"/>
        </w:rPr>
        <w:t xml:space="preserve">its community </w:t>
      </w:r>
      <w:r w:rsidR="00BF0B9A">
        <w:rPr>
          <w:rFonts w:cs="Arial"/>
          <w:sz w:val="24"/>
          <w:szCs w:val="24"/>
        </w:rPr>
        <w:t xml:space="preserve">members. </w:t>
      </w:r>
      <w:r w:rsidRPr="00E1203D">
        <w:rPr>
          <w:rFonts w:cs="Arial"/>
          <w:sz w:val="24"/>
          <w:szCs w:val="24"/>
        </w:rPr>
        <w:t>In keeping with th</w:t>
      </w:r>
      <w:r w:rsidR="00067216" w:rsidRPr="00E1203D">
        <w:rPr>
          <w:rFonts w:cs="Arial"/>
          <w:sz w:val="24"/>
          <w:szCs w:val="24"/>
        </w:rPr>
        <w:t>is mission, Trent embraces the “E</w:t>
      </w:r>
      <w:r w:rsidRPr="00E1203D">
        <w:rPr>
          <w:rFonts w:cs="Arial"/>
          <w:sz w:val="24"/>
          <w:szCs w:val="24"/>
        </w:rPr>
        <w:t>nviro</w:t>
      </w:r>
      <w:r w:rsidR="00067216" w:rsidRPr="00E1203D">
        <w:rPr>
          <w:rFonts w:cs="Arial"/>
          <w:sz w:val="24"/>
          <w:szCs w:val="24"/>
        </w:rPr>
        <w:t>nmental Model of D</w:t>
      </w:r>
      <w:r w:rsidRPr="00E1203D">
        <w:rPr>
          <w:rFonts w:cs="Arial"/>
          <w:sz w:val="24"/>
          <w:szCs w:val="24"/>
        </w:rPr>
        <w:t>isability</w:t>
      </w:r>
      <w:r w:rsidR="00067216" w:rsidRPr="00E1203D">
        <w:rPr>
          <w:rFonts w:cs="Arial"/>
          <w:sz w:val="24"/>
          <w:szCs w:val="24"/>
        </w:rPr>
        <w:t>”</w:t>
      </w:r>
      <w:r w:rsidRPr="00E1203D">
        <w:rPr>
          <w:rFonts w:cs="Arial"/>
          <w:sz w:val="24"/>
          <w:szCs w:val="24"/>
        </w:rPr>
        <w:t xml:space="preserve"> as operationalized in the World Health Organization’s definition of disability. In this model, disability is viewed </w:t>
      </w:r>
      <w:proofErr w:type="gramStart"/>
      <w:r w:rsidRPr="00E1203D">
        <w:rPr>
          <w:rFonts w:cs="Arial"/>
          <w:sz w:val="24"/>
          <w:szCs w:val="24"/>
        </w:rPr>
        <w:t>as a consequence of</w:t>
      </w:r>
      <w:proofErr w:type="gramEnd"/>
      <w:r w:rsidRPr="00E1203D">
        <w:rPr>
          <w:rFonts w:cs="Arial"/>
          <w:sz w:val="24"/>
          <w:szCs w:val="24"/>
        </w:rPr>
        <w:t xml:space="preserve"> barriers created by design flaws in the built and human environment</w:t>
      </w:r>
      <w:r w:rsidR="00FC47EA" w:rsidRPr="00E1203D">
        <w:rPr>
          <w:rFonts w:cs="Arial"/>
          <w:sz w:val="24"/>
          <w:szCs w:val="24"/>
        </w:rPr>
        <w:t>s</w:t>
      </w:r>
      <w:r w:rsidRPr="00E1203D">
        <w:rPr>
          <w:rFonts w:cs="Arial"/>
          <w:sz w:val="24"/>
          <w:szCs w:val="24"/>
        </w:rPr>
        <w:t>. It is these design flaw</w:t>
      </w:r>
      <w:r w:rsidR="00B13B0B">
        <w:rPr>
          <w:rFonts w:cs="Arial"/>
          <w:sz w:val="24"/>
          <w:szCs w:val="24"/>
        </w:rPr>
        <w:t xml:space="preserve">s, </w:t>
      </w:r>
      <w:r w:rsidRPr="00E1203D">
        <w:rPr>
          <w:rFonts w:cs="Arial"/>
          <w:sz w:val="24"/>
          <w:szCs w:val="24"/>
        </w:rPr>
        <w:t xml:space="preserve">which prevent people with disabilities from full participation in a community.  Trent University is committed to breaking down the </w:t>
      </w:r>
      <w:r w:rsidR="001108A6" w:rsidRPr="00E1203D">
        <w:rPr>
          <w:rFonts w:cs="Arial"/>
          <w:sz w:val="24"/>
          <w:szCs w:val="24"/>
        </w:rPr>
        <w:t>barriers, which</w:t>
      </w:r>
      <w:r w:rsidRPr="00E1203D">
        <w:rPr>
          <w:rFonts w:cs="Arial"/>
          <w:sz w:val="24"/>
          <w:szCs w:val="24"/>
        </w:rPr>
        <w:t xml:space="preserve"> prevent the full inclusion of </w:t>
      </w:r>
      <w:proofErr w:type="gramStart"/>
      <w:r w:rsidRPr="00E1203D">
        <w:rPr>
          <w:rFonts w:cs="Arial"/>
          <w:sz w:val="24"/>
          <w:szCs w:val="24"/>
        </w:rPr>
        <w:t>all of</w:t>
      </w:r>
      <w:proofErr w:type="gramEnd"/>
      <w:r w:rsidRPr="00E1203D">
        <w:rPr>
          <w:rFonts w:cs="Arial"/>
          <w:sz w:val="24"/>
          <w:szCs w:val="24"/>
        </w:rPr>
        <w:t xml:space="preserve"> its comm</w:t>
      </w:r>
      <w:r w:rsidR="00BD2695" w:rsidRPr="00E1203D">
        <w:rPr>
          <w:rFonts w:cs="Arial"/>
          <w:sz w:val="24"/>
          <w:szCs w:val="24"/>
        </w:rPr>
        <w:t xml:space="preserve">unity members in its living and </w:t>
      </w:r>
      <w:r w:rsidRPr="00E1203D">
        <w:rPr>
          <w:rFonts w:cs="Arial"/>
          <w:sz w:val="24"/>
          <w:szCs w:val="24"/>
        </w:rPr>
        <w:t>learning environment</w:t>
      </w:r>
      <w:r w:rsidR="007F051D">
        <w:rPr>
          <w:rFonts w:cs="Arial"/>
          <w:sz w:val="24"/>
          <w:szCs w:val="24"/>
        </w:rPr>
        <w:t>s</w:t>
      </w:r>
      <w:r w:rsidRPr="00E1203D">
        <w:rPr>
          <w:rFonts w:cs="Arial"/>
          <w:sz w:val="24"/>
          <w:szCs w:val="24"/>
        </w:rPr>
        <w:t xml:space="preserve">. </w:t>
      </w:r>
    </w:p>
    <w:p w14:paraId="5A32EA6F" w14:textId="77777777" w:rsidR="002D59F1" w:rsidRPr="002D59F1" w:rsidRDefault="002D59F1" w:rsidP="002D59F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434BFB2" w14:textId="53345735" w:rsidR="002D59F1" w:rsidRPr="0015740F" w:rsidRDefault="003742F8" w:rsidP="0015740F">
      <w:pPr>
        <w:pStyle w:val="Heading2"/>
        <w:spacing w:after="100" w:afterAutospacing="1"/>
        <w:rPr>
          <w:color w:val="auto"/>
        </w:rPr>
      </w:pPr>
      <w:bookmarkStart w:id="2" w:name="_Toc58245603"/>
      <w:r w:rsidRPr="00196E85">
        <w:rPr>
          <w:color w:val="auto"/>
        </w:rPr>
        <w:lastRenderedPageBreak/>
        <w:t>Compliance Requirements</w:t>
      </w:r>
      <w:bookmarkEnd w:id="2"/>
      <w:r w:rsidRPr="00196E85">
        <w:rPr>
          <w:color w:val="auto"/>
        </w:rPr>
        <w:t xml:space="preserve"> </w:t>
      </w:r>
    </w:p>
    <w:p w14:paraId="06AAF532" w14:textId="77777777" w:rsidR="002D59F1" w:rsidRPr="00196E85" w:rsidRDefault="002D59F1" w:rsidP="002D59F1">
      <w:pPr>
        <w:pStyle w:val="Heading30"/>
        <w:rPr>
          <w:sz w:val="24"/>
          <w:szCs w:val="24"/>
          <w:u w:val="none"/>
        </w:rPr>
      </w:pPr>
      <w:bookmarkStart w:id="3" w:name="_Toc58245604"/>
      <w:r w:rsidRPr="00196E85">
        <w:rPr>
          <w:sz w:val="24"/>
          <w:szCs w:val="24"/>
          <w:u w:val="none"/>
        </w:rPr>
        <w:t>Annual Status Report</w:t>
      </w:r>
      <w:bookmarkEnd w:id="3"/>
    </w:p>
    <w:p w14:paraId="678D375C" w14:textId="2B750B3B" w:rsidR="002D59F1" w:rsidRDefault="002D59F1" w:rsidP="002D59F1">
      <w:pPr>
        <w:autoSpaceDE w:val="0"/>
        <w:autoSpaceDN w:val="0"/>
        <w:adjustRightInd w:val="0"/>
        <w:spacing w:after="100" w:afterAutospacing="1"/>
        <w:rPr>
          <w:rFonts w:cs="Arial"/>
          <w:color w:val="000000"/>
          <w:sz w:val="24"/>
          <w:szCs w:val="24"/>
        </w:rPr>
      </w:pPr>
      <w:r w:rsidRPr="00E1203D">
        <w:rPr>
          <w:rFonts w:cs="Arial"/>
          <w:color w:val="000000"/>
          <w:sz w:val="24"/>
          <w:szCs w:val="24"/>
        </w:rPr>
        <w:t xml:space="preserve">This report serves as the annual update to </w:t>
      </w:r>
      <w:r>
        <w:rPr>
          <w:rFonts w:cs="Arial"/>
          <w:color w:val="000000"/>
          <w:sz w:val="24"/>
          <w:szCs w:val="24"/>
        </w:rPr>
        <w:t xml:space="preserve">Trent’s </w:t>
      </w:r>
      <w:r w:rsidRPr="00122EC0">
        <w:rPr>
          <w:rFonts w:cs="Arial"/>
          <w:color w:val="000000"/>
          <w:sz w:val="24"/>
          <w:szCs w:val="24"/>
        </w:rPr>
        <w:t>AODA</w:t>
      </w:r>
      <w:r w:rsidRPr="00E1203D">
        <w:rPr>
          <w:rFonts w:cs="Arial"/>
          <w:color w:val="000000"/>
          <w:sz w:val="24"/>
          <w:szCs w:val="24"/>
        </w:rPr>
        <w:t xml:space="preserve"> Multi-</w:t>
      </w:r>
      <w:r>
        <w:rPr>
          <w:rFonts w:cs="Arial"/>
          <w:color w:val="000000"/>
          <w:sz w:val="24"/>
          <w:szCs w:val="24"/>
        </w:rPr>
        <w:t>Y</w:t>
      </w:r>
      <w:r w:rsidRPr="00E1203D">
        <w:rPr>
          <w:rFonts w:cs="Arial"/>
          <w:color w:val="000000"/>
          <w:sz w:val="24"/>
          <w:szCs w:val="24"/>
        </w:rPr>
        <w:t>ear Accessibility Plan</w:t>
      </w:r>
      <w:r>
        <w:rPr>
          <w:rFonts w:cs="Arial"/>
          <w:color w:val="000000"/>
          <w:sz w:val="24"/>
          <w:szCs w:val="24"/>
        </w:rPr>
        <w:t>, as required under</w:t>
      </w:r>
      <w:r w:rsidR="00BF0B9A">
        <w:rPr>
          <w:rFonts w:cs="Arial"/>
          <w:color w:val="000000"/>
          <w:sz w:val="24"/>
          <w:szCs w:val="24"/>
        </w:rPr>
        <w:t xml:space="preserve"> the Integrated Accessibility Standards Regulation (I</w:t>
      </w:r>
      <w:r>
        <w:rPr>
          <w:rFonts w:cs="Arial"/>
          <w:color w:val="000000"/>
          <w:sz w:val="24"/>
          <w:szCs w:val="24"/>
        </w:rPr>
        <w:t>ASR</w:t>
      </w:r>
      <w:r w:rsidR="00BF0B9A">
        <w:rPr>
          <w:rFonts w:cs="Arial"/>
          <w:color w:val="000000"/>
          <w:sz w:val="24"/>
          <w:szCs w:val="24"/>
        </w:rPr>
        <w:t>)</w:t>
      </w:r>
      <w:r>
        <w:rPr>
          <w:rFonts w:cs="Arial"/>
          <w:color w:val="000000"/>
          <w:sz w:val="24"/>
          <w:szCs w:val="24"/>
        </w:rPr>
        <w:t xml:space="preserve"> Section 4. </w:t>
      </w:r>
      <w:r w:rsidR="00581860">
        <w:rPr>
          <w:rFonts w:cs="Arial"/>
          <w:color w:val="000000"/>
          <w:sz w:val="24"/>
          <w:szCs w:val="24"/>
        </w:rPr>
        <w:t>This report details the s</w:t>
      </w:r>
      <w:r>
        <w:rPr>
          <w:rFonts w:cs="Arial"/>
          <w:color w:val="000000"/>
          <w:sz w:val="24"/>
          <w:szCs w:val="24"/>
        </w:rPr>
        <w:t xml:space="preserve">trategies and steps </w:t>
      </w:r>
      <w:r w:rsidR="00581860">
        <w:rPr>
          <w:rFonts w:cs="Arial"/>
          <w:color w:val="000000"/>
          <w:sz w:val="24"/>
          <w:szCs w:val="24"/>
        </w:rPr>
        <w:t xml:space="preserve">taken </w:t>
      </w:r>
      <w:r>
        <w:rPr>
          <w:rFonts w:cs="Arial"/>
          <w:color w:val="000000"/>
          <w:sz w:val="24"/>
          <w:szCs w:val="24"/>
        </w:rPr>
        <w:t>to bring Trent into</w:t>
      </w:r>
      <w:r w:rsidR="002256BE">
        <w:rPr>
          <w:rFonts w:cs="Arial"/>
          <w:color w:val="000000"/>
          <w:sz w:val="24"/>
          <w:szCs w:val="24"/>
        </w:rPr>
        <w:t xml:space="preserve"> and maintain</w:t>
      </w:r>
      <w:r>
        <w:rPr>
          <w:rFonts w:cs="Arial"/>
          <w:color w:val="000000"/>
          <w:sz w:val="24"/>
          <w:szCs w:val="24"/>
        </w:rPr>
        <w:t xml:space="preserve"> </w:t>
      </w:r>
      <w:r w:rsidR="00BF0B9A">
        <w:rPr>
          <w:rFonts w:cs="Arial"/>
          <w:color w:val="000000"/>
          <w:sz w:val="24"/>
          <w:szCs w:val="24"/>
        </w:rPr>
        <w:t>compliance</w:t>
      </w:r>
      <w:r w:rsidR="00AF237D">
        <w:rPr>
          <w:rFonts w:cs="Arial"/>
          <w:color w:val="000000"/>
          <w:sz w:val="24"/>
          <w:szCs w:val="24"/>
        </w:rPr>
        <w:t>.</w:t>
      </w:r>
    </w:p>
    <w:p w14:paraId="2F91A71B" w14:textId="62FD6F14" w:rsidR="001647D4" w:rsidRPr="001647D4" w:rsidRDefault="002D59F1" w:rsidP="002D59F1">
      <w:pPr>
        <w:autoSpaceDE w:val="0"/>
        <w:autoSpaceDN w:val="0"/>
        <w:adjustRightInd w:val="0"/>
        <w:spacing w:after="100" w:afterAutospacing="1"/>
      </w:pPr>
      <w:r>
        <w:rPr>
          <w:rFonts w:cs="Arial"/>
          <w:color w:val="000000"/>
          <w:sz w:val="24"/>
          <w:szCs w:val="24"/>
        </w:rPr>
        <w:t>Th</w:t>
      </w:r>
      <w:r w:rsidR="00581860">
        <w:rPr>
          <w:rFonts w:cs="Arial"/>
          <w:color w:val="000000"/>
          <w:sz w:val="24"/>
          <w:szCs w:val="24"/>
        </w:rPr>
        <w:t>e</w:t>
      </w:r>
      <w:r>
        <w:rPr>
          <w:rFonts w:cs="Arial"/>
          <w:color w:val="000000"/>
          <w:sz w:val="24"/>
          <w:szCs w:val="24"/>
        </w:rPr>
        <w:t xml:space="preserve"> report is divided i</w:t>
      </w:r>
      <w:r w:rsidR="001C6A0C">
        <w:rPr>
          <w:rFonts w:cs="Arial"/>
          <w:color w:val="000000"/>
          <w:sz w:val="24"/>
          <w:szCs w:val="24"/>
        </w:rPr>
        <w:t xml:space="preserve">nto sections </w:t>
      </w:r>
      <w:r>
        <w:rPr>
          <w:rFonts w:cs="Arial"/>
          <w:color w:val="000000"/>
          <w:sz w:val="24"/>
          <w:szCs w:val="24"/>
        </w:rPr>
        <w:t xml:space="preserve">based on relevant requirements of the </w:t>
      </w:r>
      <w:r w:rsidR="00BF0B9A" w:rsidRPr="00122EC0">
        <w:rPr>
          <w:rFonts w:cs="Arial"/>
          <w:color w:val="000000"/>
          <w:sz w:val="24"/>
          <w:szCs w:val="24"/>
        </w:rPr>
        <w:t>AODA</w:t>
      </w:r>
      <w:r w:rsidR="00BF0B9A" w:rsidRPr="00BF0B9A">
        <w:rPr>
          <w:rFonts w:cs="Arial"/>
          <w:i/>
          <w:color w:val="000000"/>
          <w:sz w:val="24"/>
          <w:szCs w:val="24"/>
        </w:rPr>
        <w:t xml:space="preserve"> </w:t>
      </w:r>
      <w:r w:rsidR="00BF0B9A">
        <w:rPr>
          <w:rFonts w:cs="Arial"/>
          <w:color w:val="000000"/>
          <w:sz w:val="24"/>
          <w:szCs w:val="24"/>
        </w:rPr>
        <w:t>IASR</w:t>
      </w:r>
      <w:r>
        <w:rPr>
          <w:rFonts w:cs="Arial"/>
          <w:color w:val="000000"/>
          <w:sz w:val="24"/>
          <w:szCs w:val="24"/>
        </w:rPr>
        <w:t>, which are being highlighted because there</w:t>
      </w:r>
      <w:r w:rsidR="002C2A94">
        <w:rPr>
          <w:rFonts w:cs="Arial"/>
          <w:color w:val="000000"/>
          <w:sz w:val="24"/>
          <w:szCs w:val="24"/>
        </w:rPr>
        <w:t xml:space="preserve"> are</w:t>
      </w:r>
      <w:r>
        <w:rPr>
          <w:rFonts w:cs="Arial"/>
          <w:color w:val="000000"/>
          <w:sz w:val="24"/>
          <w:szCs w:val="24"/>
        </w:rPr>
        <w:t xml:space="preserve"> current or upcoming action</w:t>
      </w:r>
      <w:r w:rsidR="002C2A94"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 xml:space="preserve"> pertaining to the</w:t>
      </w:r>
      <w:r w:rsidR="005F4F9D">
        <w:rPr>
          <w:rFonts w:cs="Arial"/>
          <w:color w:val="000000"/>
          <w:sz w:val="24"/>
          <w:szCs w:val="24"/>
        </w:rPr>
        <w:t>se</w:t>
      </w:r>
      <w:r>
        <w:rPr>
          <w:rFonts w:cs="Arial"/>
          <w:color w:val="000000"/>
          <w:sz w:val="24"/>
          <w:szCs w:val="24"/>
        </w:rPr>
        <w:t xml:space="preserve"> sections’ requirement</w:t>
      </w:r>
      <w:r w:rsidR="007B6A10"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>.</w:t>
      </w:r>
      <w:r w:rsidRPr="001647D4">
        <w:t xml:space="preserve"> </w:t>
      </w:r>
    </w:p>
    <w:p w14:paraId="01C472C1" w14:textId="77777777" w:rsidR="001E352A" w:rsidRPr="00196E85" w:rsidRDefault="001E352A" w:rsidP="00196E85">
      <w:pPr>
        <w:pStyle w:val="Heading30"/>
        <w:rPr>
          <w:sz w:val="24"/>
          <w:szCs w:val="24"/>
          <w:u w:val="none"/>
        </w:rPr>
      </w:pPr>
      <w:bookmarkStart w:id="4" w:name="_Toc58245605"/>
      <w:r w:rsidRPr="007B2E22">
        <w:rPr>
          <w:sz w:val="24"/>
          <w:szCs w:val="24"/>
          <w:u w:val="none"/>
        </w:rPr>
        <w:t>AODA Compliance</w:t>
      </w:r>
      <w:r w:rsidR="003742F8" w:rsidRPr="007B2E22">
        <w:rPr>
          <w:sz w:val="24"/>
          <w:szCs w:val="24"/>
          <w:u w:val="none"/>
        </w:rPr>
        <w:t xml:space="preserve"> Report</w:t>
      </w:r>
      <w:bookmarkEnd w:id="4"/>
      <w:r w:rsidR="003742F8" w:rsidRPr="00196E85">
        <w:rPr>
          <w:sz w:val="24"/>
          <w:szCs w:val="24"/>
          <w:u w:val="none"/>
        </w:rPr>
        <w:t xml:space="preserve"> </w:t>
      </w:r>
    </w:p>
    <w:p w14:paraId="4E83FC4A" w14:textId="651FC37E" w:rsidR="00910AE2" w:rsidRPr="00F76717" w:rsidRDefault="008C2804" w:rsidP="00AF237D">
      <w:pPr>
        <w:autoSpaceDE w:val="0"/>
        <w:autoSpaceDN w:val="0"/>
        <w:adjustRightInd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Under the legislation, public sector organizations must report to the Accessibility Directorate of Ontario (ADO) every two years. Trent was required to file </w:t>
      </w:r>
      <w:r w:rsidR="00F76717">
        <w:rPr>
          <w:sz w:val="24"/>
          <w:szCs w:val="24"/>
        </w:rPr>
        <w:t>its most recent</w:t>
      </w:r>
      <w:r>
        <w:rPr>
          <w:sz w:val="24"/>
          <w:szCs w:val="24"/>
        </w:rPr>
        <w:t xml:space="preserve"> compliance report by December 31, 201</w:t>
      </w:r>
      <w:r w:rsidR="00AF237D">
        <w:rPr>
          <w:sz w:val="24"/>
          <w:szCs w:val="24"/>
        </w:rPr>
        <w:t>9</w:t>
      </w:r>
      <w:r>
        <w:rPr>
          <w:sz w:val="24"/>
          <w:szCs w:val="24"/>
        </w:rPr>
        <w:t xml:space="preserve">. The report was filed on </w:t>
      </w:r>
      <w:r w:rsidRPr="007B2E22">
        <w:rPr>
          <w:sz w:val="24"/>
          <w:szCs w:val="24"/>
        </w:rPr>
        <w:t>December 1</w:t>
      </w:r>
      <w:r w:rsidR="00AF237D" w:rsidRPr="007B2E22">
        <w:rPr>
          <w:sz w:val="24"/>
          <w:szCs w:val="24"/>
        </w:rPr>
        <w:t>0, 2019</w:t>
      </w:r>
      <w:r>
        <w:rPr>
          <w:sz w:val="24"/>
          <w:szCs w:val="24"/>
        </w:rPr>
        <w:t xml:space="preserve">. </w:t>
      </w:r>
      <w:r w:rsidR="00A8680A">
        <w:rPr>
          <w:sz w:val="24"/>
          <w:szCs w:val="24"/>
        </w:rPr>
        <w:t xml:space="preserve">Progress was made on web accessibility compliance and the report was refiled with the ADO. </w:t>
      </w:r>
      <w:r w:rsidR="00B13B0B">
        <w:rPr>
          <w:sz w:val="24"/>
          <w:szCs w:val="24"/>
        </w:rPr>
        <w:t>The</w:t>
      </w:r>
      <w:r w:rsidR="00AF237D">
        <w:rPr>
          <w:sz w:val="24"/>
          <w:szCs w:val="24"/>
        </w:rPr>
        <w:t xml:space="preserve"> next report will be due in</w:t>
      </w:r>
      <w:r w:rsidR="00C30621">
        <w:rPr>
          <w:sz w:val="24"/>
          <w:szCs w:val="24"/>
        </w:rPr>
        <w:t xml:space="preserve"> December</w:t>
      </w:r>
      <w:r w:rsidR="00AF237D">
        <w:rPr>
          <w:sz w:val="24"/>
          <w:szCs w:val="24"/>
        </w:rPr>
        <w:t xml:space="preserve"> 2021</w:t>
      </w:r>
      <w:r w:rsidR="00B13B0B">
        <w:rPr>
          <w:sz w:val="24"/>
          <w:szCs w:val="24"/>
        </w:rPr>
        <w:t xml:space="preserve">. </w:t>
      </w:r>
    </w:p>
    <w:p w14:paraId="38727B73" w14:textId="77777777" w:rsidR="007624CD" w:rsidRPr="00196E85" w:rsidRDefault="00196E85" w:rsidP="00196E85">
      <w:pPr>
        <w:pStyle w:val="Heading30"/>
        <w:rPr>
          <w:sz w:val="24"/>
          <w:szCs w:val="24"/>
          <w:u w:val="none"/>
          <w:lang w:val="en-US"/>
        </w:rPr>
      </w:pPr>
      <w:bookmarkStart w:id="5" w:name="_Toc58245606"/>
      <w:r w:rsidRPr="00196E85">
        <w:rPr>
          <w:sz w:val="24"/>
          <w:szCs w:val="24"/>
          <w:u w:val="none"/>
          <w:lang w:val="en-US"/>
        </w:rPr>
        <w:t xml:space="preserve">IASR Section 7 </w:t>
      </w:r>
      <w:r w:rsidR="007624CD" w:rsidRPr="00196E85">
        <w:rPr>
          <w:sz w:val="24"/>
          <w:szCs w:val="24"/>
          <w:u w:val="none"/>
          <w:lang w:val="en-US"/>
        </w:rPr>
        <w:t>– Training</w:t>
      </w:r>
      <w:bookmarkEnd w:id="5"/>
    </w:p>
    <w:p w14:paraId="7F65E9B2" w14:textId="0317B044" w:rsidR="00C943A4" w:rsidRPr="0015740F" w:rsidRDefault="007624CD" w:rsidP="0015740F">
      <w:pPr>
        <w:spacing w:after="100" w:afterAutospacing="1"/>
        <w:rPr>
          <w:rFonts w:cs="Arial"/>
          <w:color w:val="000000"/>
          <w:sz w:val="24"/>
          <w:szCs w:val="24"/>
          <w:lang w:val="en-US"/>
        </w:rPr>
      </w:pPr>
      <w:r w:rsidRPr="00293EBC">
        <w:rPr>
          <w:rFonts w:cs="Arial"/>
          <w:color w:val="000000"/>
          <w:sz w:val="24"/>
          <w:szCs w:val="24"/>
          <w:lang w:val="en-US"/>
        </w:rPr>
        <w:t xml:space="preserve">Trent continues to offer training on the </w:t>
      </w:r>
      <w:proofErr w:type="gramStart"/>
      <w:r w:rsidRPr="00293EBC">
        <w:rPr>
          <w:rFonts w:cs="Arial"/>
          <w:color w:val="000000"/>
          <w:sz w:val="24"/>
          <w:szCs w:val="24"/>
          <w:lang w:val="en-US"/>
        </w:rPr>
        <w:t>IASR</w:t>
      </w:r>
      <w:proofErr w:type="gramEnd"/>
      <w:r w:rsidRPr="00293EBC">
        <w:rPr>
          <w:rFonts w:cs="Arial"/>
          <w:color w:val="000000"/>
          <w:sz w:val="24"/>
          <w:szCs w:val="24"/>
          <w:lang w:val="en-US"/>
        </w:rPr>
        <w:t xml:space="preserve"> and Ontario Human Rights Code </w:t>
      </w:r>
      <w:r w:rsidR="006F2760" w:rsidRPr="00293EBC">
        <w:rPr>
          <w:rFonts w:cs="Arial"/>
          <w:color w:val="000000"/>
          <w:sz w:val="24"/>
          <w:szCs w:val="24"/>
          <w:lang w:val="en-US"/>
        </w:rPr>
        <w:t>as required by this</w:t>
      </w:r>
      <w:r w:rsidR="00293EBC" w:rsidRPr="00293EBC">
        <w:rPr>
          <w:rFonts w:cs="Arial"/>
          <w:color w:val="000000"/>
          <w:sz w:val="24"/>
          <w:szCs w:val="24"/>
          <w:lang w:val="en-US"/>
        </w:rPr>
        <w:t xml:space="preserve"> sec</w:t>
      </w:r>
      <w:r w:rsidR="00AF237D">
        <w:rPr>
          <w:rFonts w:cs="Arial"/>
          <w:color w:val="000000"/>
          <w:sz w:val="24"/>
          <w:szCs w:val="24"/>
          <w:lang w:val="en-US"/>
        </w:rPr>
        <w:t>tion of the legislation. In 20</w:t>
      </w:r>
      <w:r w:rsidR="00C943A4">
        <w:rPr>
          <w:rFonts w:cs="Arial"/>
          <w:color w:val="000000"/>
          <w:sz w:val="24"/>
          <w:szCs w:val="24"/>
          <w:lang w:val="en-US"/>
        </w:rPr>
        <w:t>20</w:t>
      </w:r>
      <w:r w:rsidR="00293EBC" w:rsidRPr="00293EBC">
        <w:rPr>
          <w:rFonts w:cs="Arial"/>
          <w:color w:val="000000"/>
          <w:sz w:val="24"/>
          <w:szCs w:val="24"/>
          <w:lang w:val="en-US"/>
        </w:rPr>
        <w:t>,</w:t>
      </w:r>
      <w:r w:rsidR="006F2760" w:rsidRPr="00293EBC">
        <w:rPr>
          <w:rFonts w:cs="Arial"/>
          <w:color w:val="000000"/>
          <w:sz w:val="24"/>
          <w:szCs w:val="24"/>
          <w:lang w:val="en-US"/>
        </w:rPr>
        <w:t xml:space="preserve"> </w:t>
      </w:r>
      <w:r w:rsidR="00581860">
        <w:rPr>
          <w:rFonts w:cs="Arial"/>
          <w:color w:val="000000"/>
          <w:sz w:val="24"/>
          <w:szCs w:val="24"/>
          <w:lang w:val="en-US"/>
        </w:rPr>
        <w:t xml:space="preserve">the </w:t>
      </w:r>
      <w:r w:rsidR="00C943A4">
        <w:rPr>
          <w:rFonts w:cs="Arial"/>
          <w:color w:val="000000"/>
          <w:sz w:val="24"/>
          <w:szCs w:val="24"/>
          <w:lang w:val="en-US"/>
        </w:rPr>
        <w:t>online module was converted to Blackboard</w:t>
      </w:r>
      <w:r w:rsidR="00AF57A5">
        <w:rPr>
          <w:rFonts w:cs="Arial"/>
          <w:color w:val="000000"/>
          <w:sz w:val="24"/>
          <w:szCs w:val="24"/>
          <w:lang w:val="en-US"/>
        </w:rPr>
        <w:t xml:space="preserve"> (LMS)</w:t>
      </w:r>
      <w:r w:rsidR="00C943A4">
        <w:rPr>
          <w:rFonts w:cs="Arial"/>
          <w:color w:val="000000"/>
          <w:sz w:val="24"/>
          <w:szCs w:val="24"/>
          <w:lang w:val="en-US"/>
        </w:rPr>
        <w:t>. This</w:t>
      </w:r>
      <w:r w:rsidR="000C1869">
        <w:rPr>
          <w:rFonts w:cs="Arial"/>
          <w:color w:val="000000"/>
          <w:sz w:val="24"/>
          <w:szCs w:val="24"/>
          <w:lang w:val="en-US"/>
        </w:rPr>
        <w:t xml:space="preserve"> change</w:t>
      </w:r>
      <w:r w:rsidR="00C943A4">
        <w:rPr>
          <w:rFonts w:cs="Arial"/>
          <w:color w:val="000000"/>
          <w:sz w:val="24"/>
          <w:szCs w:val="24"/>
          <w:lang w:val="en-US"/>
        </w:rPr>
        <w:t xml:space="preserve"> provides continuity across AODA training modules at Trent, as they are now all available through Blackboard. </w:t>
      </w:r>
    </w:p>
    <w:p w14:paraId="062706FE" w14:textId="59D126E4" w:rsidR="000A5744" w:rsidRPr="006B16A7" w:rsidRDefault="00196E85" w:rsidP="006B16A7">
      <w:pPr>
        <w:pStyle w:val="Heading30"/>
        <w:rPr>
          <w:sz w:val="24"/>
          <w:szCs w:val="24"/>
          <w:u w:val="none"/>
          <w:lang w:val="en-US"/>
        </w:rPr>
      </w:pPr>
      <w:bookmarkStart w:id="6" w:name="_Toc58245607"/>
      <w:r w:rsidRPr="002A45A2">
        <w:rPr>
          <w:sz w:val="24"/>
          <w:szCs w:val="24"/>
          <w:u w:val="none"/>
          <w:lang w:val="en-US"/>
        </w:rPr>
        <w:t>IASR Section 14</w:t>
      </w:r>
      <w:r w:rsidR="000A5744" w:rsidRPr="002A45A2">
        <w:rPr>
          <w:sz w:val="24"/>
          <w:szCs w:val="24"/>
          <w:u w:val="none"/>
          <w:lang w:val="en-US"/>
        </w:rPr>
        <w:t xml:space="preserve"> – Accessible Websites and Web Content</w:t>
      </w:r>
      <w:bookmarkEnd w:id="6"/>
    </w:p>
    <w:p w14:paraId="60D0B675" w14:textId="1B8F4E6E" w:rsidR="00457DA0" w:rsidRDefault="00457DA0" w:rsidP="00457DA0">
      <w:pPr>
        <w:rPr>
          <w:rFonts w:ascii="Calibri" w:hAnsi="Calibri"/>
        </w:rPr>
      </w:pPr>
      <w:r>
        <w:rPr>
          <w:color w:val="000000"/>
          <w:sz w:val="24"/>
          <w:szCs w:val="24"/>
        </w:rPr>
        <w:t xml:space="preserve">In the spring of 2020, </w:t>
      </w:r>
      <w:r w:rsidR="00FB0E29">
        <w:rPr>
          <w:color w:val="000000"/>
          <w:sz w:val="24"/>
          <w:szCs w:val="24"/>
        </w:rPr>
        <w:t>Trent reported compliance with </w:t>
      </w:r>
      <w:r>
        <w:rPr>
          <w:color w:val="000000"/>
          <w:sz w:val="24"/>
          <w:szCs w:val="24"/>
        </w:rPr>
        <w:t>web accessibility requirements, which state that all new web content must meet Web Content Accessibility Guidelines (WCAG) 2.0 Level A standards. As per the plan outlined in the 2017-2022 AODA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Multi-Year Accessibility Plan, several important </w:t>
      </w:r>
      <w:r w:rsidR="0045103F">
        <w:rPr>
          <w:color w:val="000000"/>
          <w:sz w:val="24"/>
          <w:szCs w:val="24"/>
        </w:rPr>
        <w:t>initiatives</w:t>
      </w:r>
      <w:r>
        <w:rPr>
          <w:color w:val="000000"/>
          <w:sz w:val="24"/>
          <w:szCs w:val="24"/>
        </w:rPr>
        <w:t xml:space="preserve"> were </w:t>
      </w:r>
      <w:r w:rsidR="0045103F">
        <w:rPr>
          <w:color w:val="000000"/>
          <w:sz w:val="24"/>
          <w:szCs w:val="24"/>
        </w:rPr>
        <w:t xml:space="preserve">undertaken </w:t>
      </w:r>
      <w:r>
        <w:rPr>
          <w:color w:val="000000"/>
          <w:sz w:val="24"/>
          <w:szCs w:val="24"/>
        </w:rPr>
        <w:t>which led to Trent’s ability to report website accessibility compliance</w:t>
      </w:r>
      <w:r w:rsidR="004510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These initiatives included: </w:t>
      </w:r>
    </w:p>
    <w:p w14:paraId="41F48BA8" w14:textId="63C08E20" w:rsidR="00457DA0" w:rsidRPr="00FB0E29" w:rsidRDefault="00457DA0" w:rsidP="00457DA0">
      <w:pPr>
        <w:numPr>
          <w:ilvl w:val="0"/>
          <w:numId w:val="24"/>
        </w:numPr>
        <w:rPr>
          <w:color w:val="000000"/>
          <w:sz w:val="24"/>
          <w:szCs w:val="24"/>
        </w:rPr>
      </w:pPr>
      <w:r w:rsidRPr="00FB0E29">
        <w:rPr>
          <w:color w:val="000000"/>
          <w:sz w:val="24"/>
          <w:szCs w:val="24"/>
        </w:rPr>
        <w:t>Trent mitigated identified AA issues with its website template.</w:t>
      </w:r>
    </w:p>
    <w:p w14:paraId="5D9E8E1C" w14:textId="77777777" w:rsidR="00457DA0" w:rsidRDefault="00457DA0" w:rsidP="00457DA0">
      <w:pPr>
        <w:numPr>
          <w:ilvl w:val="0"/>
          <w:numId w:val="24"/>
        </w:numPr>
        <w:rPr>
          <w:color w:val="000000"/>
        </w:rPr>
      </w:pPr>
      <w:r>
        <w:rPr>
          <w:color w:val="000000"/>
          <w:sz w:val="24"/>
          <w:szCs w:val="24"/>
        </w:rPr>
        <w:t>Trent completed the migration of active websites to the Drupal content management system, which uses a single template and modern web frameworks to maximize accessibility compliance.</w:t>
      </w:r>
    </w:p>
    <w:p w14:paraId="26BEBF76" w14:textId="77777777" w:rsidR="00457DA0" w:rsidRDefault="00457DA0" w:rsidP="00457DA0">
      <w:pPr>
        <w:numPr>
          <w:ilvl w:val="0"/>
          <w:numId w:val="24"/>
        </w:numPr>
        <w:rPr>
          <w:color w:val="000000"/>
        </w:rPr>
      </w:pPr>
      <w:r>
        <w:rPr>
          <w:color w:val="000000"/>
          <w:sz w:val="24"/>
          <w:szCs w:val="24"/>
        </w:rPr>
        <w:t xml:space="preserve">A new, accessible template was introduced for the </w:t>
      </w:r>
      <w:proofErr w:type="spellStart"/>
      <w:r>
        <w:rPr>
          <w:color w:val="000000"/>
          <w:sz w:val="24"/>
          <w:szCs w:val="24"/>
        </w:rPr>
        <w:t>myCommunity</w:t>
      </w:r>
      <w:proofErr w:type="spellEnd"/>
      <w:r>
        <w:rPr>
          <w:color w:val="000000"/>
          <w:sz w:val="24"/>
          <w:szCs w:val="24"/>
        </w:rPr>
        <w:t xml:space="preserve"> website.</w:t>
      </w:r>
    </w:p>
    <w:p w14:paraId="7EC3CBEF" w14:textId="6AA7EABD" w:rsidR="00457DA0" w:rsidRDefault="00457DA0" w:rsidP="00457DA0">
      <w:pPr>
        <w:numPr>
          <w:ilvl w:val="0"/>
          <w:numId w:val="24"/>
        </w:numPr>
        <w:rPr>
          <w:color w:val="000000"/>
        </w:rPr>
      </w:pPr>
      <w:r>
        <w:rPr>
          <w:color w:val="000000"/>
          <w:sz w:val="24"/>
          <w:szCs w:val="24"/>
        </w:rPr>
        <w:t>In 20</w:t>
      </w:r>
      <w:r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, the </w:t>
      </w:r>
      <w:proofErr w:type="spellStart"/>
      <w:r>
        <w:rPr>
          <w:color w:val="000000"/>
          <w:sz w:val="24"/>
          <w:szCs w:val="24"/>
        </w:rPr>
        <w:t>SiteImprove</w:t>
      </w:r>
      <w:proofErr w:type="spellEnd"/>
      <w:r>
        <w:rPr>
          <w:color w:val="000000"/>
          <w:sz w:val="24"/>
          <w:szCs w:val="24"/>
        </w:rPr>
        <w:t xml:space="preserve"> accessibility score on </w:t>
      </w:r>
      <w:r w:rsidR="00FB0E29">
        <w:rPr>
          <w:color w:val="000000"/>
          <w:sz w:val="24"/>
          <w:szCs w:val="24"/>
        </w:rPr>
        <w:t xml:space="preserve">the Trent site (out of 100) was </w:t>
      </w:r>
      <w:r>
        <w:rPr>
          <w:color w:val="000000"/>
          <w:sz w:val="24"/>
          <w:szCs w:val="24"/>
        </w:rPr>
        <w:t xml:space="preserve">increased from </w:t>
      </w:r>
      <w:r>
        <w:rPr>
          <w:sz w:val="24"/>
          <w:szCs w:val="24"/>
        </w:rPr>
        <w:t>83.9</w:t>
      </w:r>
      <w:r>
        <w:rPr>
          <w:color w:val="000000"/>
          <w:sz w:val="24"/>
          <w:szCs w:val="24"/>
        </w:rPr>
        <w:t xml:space="preserve"> to </w:t>
      </w:r>
      <w:r>
        <w:rPr>
          <w:sz w:val="24"/>
          <w:szCs w:val="24"/>
        </w:rPr>
        <w:t>95</w:t>
      </w:r>
      <w:r>
        <w:rPr>
          <w:color w:val="000000"/>
          <w:sz w:val="24"/>
          <w:szCs w:val="24"/>
        </w:rPr>
        <w:t xml:space="preserve">.8. For reference, the industry benchmark for </w:t>
      </w:r>
      <w:proofErr w:type="spellStart"/>
      <w:r>
        <w:rPr>
          <w:color w:val="000000"/>
          <w:sz w:val="24"/>
          <w:szCs w:val="24"/>
        </w:rPr>
        <w:t>SiteImprove</w:t>
      </w:r>
      <w:proofErr w:type="spellEnd"/>
      <w:r>
        <w:rPr>
          <w:color w:val="000000"/>
          <w:sz w:val="24"/>
          <w:szCs w:val="24"/>
        </w:rPr>
        <w:t xml:space="preserve"> education sites is </w:t>
      </w:r>
      <w:r>
        <w:rPr>
          <w:sz w:val="24"/>
          <w:szCs w:val="24"/>
        </w:rPr>
        <w:t>70.0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S</w:t>
      </w:r>
      <w:r w:rsidR="00FB0E29">
        <w:rPr>
          <w:color w:val="000000"/>
          <w:sz w:val="24"/>
          <w:szCs w:val="24"/>
        </w:rPr>
        <w:t>iteImprove</w:t>
      </w:r>
      <w:proofErr w:type="spellEnd"/>
      <w:r w:rsidR="00FB0E29">
        <w:rPr>
          <w:color w:val="000000"/>
          <w:sz w:val="24"/>
          <w:szCs w:val="24"/>
        </w:rPr>
        <w:t xml:space="preserve"> is the accessibility </w:t>
      </w:r>
      <w:r>
        <w:rPr>
          <w:color w:val="000000"/>
          <w:sz w:val="24"/>
          <w:szCs w:val="24"/>
        </w:rPr>
        <w:t>monitoring tool used by the University.</w:t>
      </w:r>
    </w:p>
    <w:p w14:paraId="38738743" w14:textId="5C888605" w:rsidR="00457DA0" w:rsidRDefault="00457DA0" w:rsidP="00457DA0">
      <w:pPr>
        <w:numPr>
          <w:ilvl w:val="0"/>
          <w:numId w:val="24"/>
        </w:numPr>
        <w:rPr>
          <w:color w:val="000000"/>
        </w:rPr>
      </w:pPr>
      <w:r>
        <w:rPr>
          <w:sz w:val="24"/>
          <w:szCs w:val="24"/>
        </w:rPr>
        <w:t xml:space="preserve">In 2020, </w:t>
      </w:r>
      <w:r>
        <w:rPr>
          <w:color w:val="000000"/>
          <w:sz w:val="24"/>
          <w:szCs w:val="24"/>
        </w:rPr>
        <w:t xml:space="preserve">the </w:t>
      </w:r>
      <w:proofErr w:type="spellStart"/>
      <w:r>
        <w:rPr>
          <w:color w:val="000000"/>
          <w:sz w:val="24"/>
          <w:szCs w:val="24"/>
        </w:rPr>
        <w:t>SiteImprove</w:t>
      </w:r>
      <w:proofErr w:type="spellEnd"/>
      <w:r>
        <w:rPr>
          <w:color w:val="000000"/>
          <w:sz w:val="24"/>
          <w:szCs w:val="24"/>
        </w:rPr>
        <w:t xml:space="preserve"> tool was rolled out to an additional </w:t>
      </w:r>
      <w:r>
        <w:rPr>
          <w:sz w:val="24"/>
          <w:szCs w:val="24"/>
        </w:rPr>
        <w:t>40</w:t>
      </w:r>
      <w:r>
        <w:rPr>
          <w:color w:val="000000"/>
          <w:sz w:val="24"/>
          <w:szCs w:val="24"/>
        </w:rPr>
        <w:t xml:space="preserve"> users who maintain content on the Trent website</w:t>
      </w:r>
      <w:r>
        <w:rPr>
          <w:sz w:val="24"/>
          <w:szCs w:val="24"/>
        </w:rPr>
        <w:t xml:space="preserve"> for a total of 109 users</w:t>
      </w:r>
      <w:r w:rsidR="00FB0E29">
        <w:rPr>
          <w:color w:val="000000"/>
          <w:sz w:val="24"/>
          <w:szCs w:val="24"/>
        </w:rPr>
        <w:t xml:space="preserve">. Users were </w:t>
      </w:r>
      <w:r>
        <w:rPr>
          <w:color w:val="000000"/>
          <w:sz w:val="24"/>
          <w:szCs w:val="24"/>
        </w:rPr>
        <w:t>provided training and are emailed a monthly report that identifies issues to be resolved on their pages.</w:t>
      </w:r>
    </w:p>
    <w:p w14:paraId="4318DD7F" w14:textId="77777777" w:rsidR="00457DA0" w:rsidRDefault="00457DA0" w:rsidP="00457DA0">
      <w:pPr>
        <w:numPr>
          <w:ilvl w:val="0"/>
          <w:numId w:val="24"/>
        </w:numPr>
        <w:rPr>
          <w:color w:val="000000"/>
        </w:rPr>
      </w:pPr>
      <w:r>
        <w:rPr>
          <w:color w:val="000000"/>
          <w:sz w:val="24"/>
          <w:szCs w:val="24"/>
        </w:rPr>
        <w:t xml:space="preserve">A new Accessibility Checker plugin was implemented in the content management system used to create and update web pages that will provide an extra </w:t>
      </w:r>
      <w:r>
        <w:rPr>
          <w:color w:val="000000"/>
          <w:sz w:val="24"/>
          <w:szCs w:val="24"/>
        </w:rPr>
        <w:lastRenderedPageBreak/>
        <w:t>preventative layer of issue identification and resolution at the time of content creation.</w:t>
      </w:r>
    </w:p>
    <w:p w14:paraId="2BF627E8" w14:textId="77777777" w:rsidR="00457DA0" w:rsidRDefault="00457DA0" w:rsidP="00457DA0">
      <w:pPr>
        <w:numPr>
          <w:ilvl w:val="0"/>
          <w:numId w:val="24"/>
        </w:numPr>
        <w:rPr>
          <w:color w:val="000000"/>
        </w:rPr>
      </w:pPr>
      <w:r>
        <w:rPr>
          <w:color w:val="000000"/>
          <w:sz w:val="24"/>
          <w:szCs w:val="24"/>
        </w:rPr>
        <w:t>A license for Otter.ai was acquired to assist with the creation of transcripts for video content.</w:t>
      </w:r>
    </w:p>
    <w:p w14:paraId="1D65AFCC" w14:textId="59C3000A" w:rsidR="00457DA0" w:rsidRDefault="00457DA0" w:rsidP="00457DA0">
      <w:pPr>
        <w:numPr>
          <w:ilvl w:val="0"/>
          <w:numId w:val="24"/>
        </w:numPr>
        <w:rPr>
          <w:color w:val="000000"/>
        </w:rPr>
      </w:pPr>
      <w:r>
        <w:rPr>
          <w:color w:val="000000"/>
          <w:sz w:val="24"/>
          <w:szCs w:val="24"/>
        </w:rPr>
        <w:t>The Marketing and Communications Department employed a student</w:t>
      </w:r>
      <w:r>
        <w:rPr>
          <w:sz w:val="24"/>
          <w:szCs w:val="24"/>
        </w:rPr>
        <w:t xml:space="preserve"> full-time in the summer and part-time during the school</w:t>
      </w:r>
      <w:r w:rsidR="00922313">
        <w:rPr>
          <w:sz w:val="24"/>
          <w:szCs w:val="24"/>
        </w:rPr>
        <w:t xml:space="preserve"> term,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whose role was to regularly monitor </w:t>
      </w:r>
      <w:proofErr w:type="spellStart"/>
      <w:r>
        <w:rPr>
          <w:color w:val="000000"/>
          <w:sz w:val="24"/>
          <w:szCs w:val="24"/>
        </w:rPr>
        <w:t>SiteImprove</w:t>
      </w:r>
      <w:proofErr w:type="spellEnd"/>
      <w:r>
        <w:rPr>
          <w:color w:val="000000"/>
          <w:sz w:val="24"/>
          <w:szCs w:val="24"/>
        </w:rPr>
        <w:t xml:space="preserve"> reports, work with content contributors to understand their reports and reinforce </w:t>
      </w:r>
      <w:proofErr w:type="gramStart"/>
      <w:r>
        <w:rPr>
          <w:color w:val="000000"/>
          <w:sz w:val="24"/>
          <w:szCs w:val="24"/>
        </w:rPr>
        <w:t>training, and</w:t>
      </w:r>
      <w:proofErr w:type="gramEnd"/>
      <w:r>
        <w:rPr>
          <w:color w:val="000000"/>
          <w:sz w:val="24"/>
          <w:szCs w:val="24"/>
        </w:rPr>
        <w:t xml:space="preserve"> resolve issues that emerge</w:t>
      </w:r>
      <w:r w:rsidR="006F582A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</w:p>
    <w:p w14:paraId="20648A2C" w14:textId="599F9ADB" w:rsidR="00457DA0" w:rsidRPr="0015740F" w:rsidRDefault="00457DA0" w:rsidP="0015740F">
      <w:pPr>
        <w:numPr>
          <w:ilvl w:val="0"/>
          <w:numId w:val="24"/>
        </w:numPr>
        <w:spacing w:after="100" w:afterAutospacing="1"/>
      </w:pPr>
      <w:r>
        <w:rPr>
          <w:color w:val="000000"/>
          <w:sz w:val="24"/>
          <w:szCs w:val="24"/>
        </w:rPr>
        <w:t xml:space="preserve">Training on creating accessible web content and documents </w:t>
      </w:r>
      <w:r>
        <w:rPr>
          <w:sz w:val="24"/>
          <w:szCs w:val="24"/>
        </w:rPr>
        <w:t>is ongoing.</w:t>
      </w:r>
      <w:r>
        <w:rPr>
          <w:color w:val="000000"/>
          <w:sz w:val="24"/>
          <w:szCs w:val="24"/>
        </w:rPr>
        <w:t xml:space="preserve"> This included conducting departmental consultation, virtual and in-person drop-in hours</w:t>
      </w:r>
      <w:r w:rsidR="006F582A">
        <w:rPr>
          <w:color w:val="000000"/>
          <w:sz w:val="24"/>
          <w:szCs w:val="24"/>
        </w:rPr>
        <w:t xml:space="preserve"> (in-person drop-in</w:t>
      </w:r>
      <w:r w:rsidR="00823EA8">
        <w:rPr>
          <w:color w:val="000000"/>
          <w:sz w:val="24"/>
          <w:szCs w:val="24"/>
        </w:rPr>
        <w:t xml:space="preserve"> hours</w:t>
      </w:r>
      <w:r w:rsidR="006F582A">
        <w:rPr>
          <w:color w:val="000000"/>
          <w:sz w:val="24"/>
          <w:szCs w:val="24"/>
        </w:rPr>
        <w:t xml:space="preserve"> ceased because of the pandemic)</w:t>
      </w:r>
      <w:r>
        <w:rPr>
          <w:color w:val="000000"/>
          <w:sz w:val="24"/>
          <w:szCs w:val="24"/>
        </w:rPr>
        <w:t xml:space="preserve">, and professional development workshops for faculty and staff members. </w:t>
      </w:r>
    </w:p>
    <w:p w14:paraId="19A21454" w14:textId="6977604B" w:rsidR="00720781" w:rsidRPr="00765CED" w:rsidRDefault="00720781" w:rsidP="00765CED">
      <w:pPr>
        <w:pStyle w:val="Heading30"/>
        <w:rPr>
          <w:sz w:val="24"/>
          <w:szCs w:val="24"/>
          <w:u w:val="none"/>
        </w:rPr>
      </w:pPr>
      <w:bookmarkStart w:id="7" w:name="_Toc58245608"/>
      <w:r w:rsidRPr="00765CED">
        <w:rPr>
          <w:rFonts w:cs="Arial"/>
          <w:color w:val="000000"/>
          <w:sz w:val="24"/>
          <w:szCs w:val="24"/>
          <w:u w:val="none"/>
          <w:lang w:val="en-US"/>
        </w:rPr>
        <w:t xml:space="preserve">IASR </w:t>
      </w:r>
      <w:r w:rsidRPr="00765CED">
        <w:rPr>
          <w:sz w:val="24"/>
          <w:szCs w:val="24"/>
          <w:u w:val="none"/>
          <w:lang w:val="en-US"/>
        </w:rPr>
        <w:t>Section 15 – Educational and Training Resources and Materials</w:t>
      </w:r>
      <w:bookmarkEnd w:id="7"/>
    </w:p>
    <w:p w14:paraId="179ECC87" w14:textId="10B340AC" w:rsidR="00720781" w:rsidRPr="0015740F" w:rsidRDefault="000C1869" w:rsidP="0015740F">
      <w:pPr>
        <w:spacing w:after="100" w:afterAutospacing="1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>Trent’s Information Technology and Student Accessibility Services Departments worked to develop a comprehensive captioning strategy aimed at promoting universal access and addressing student needs as the COVID-19 pandemic led to moving more courses online. Three types of captioning were made available as of fall 2020; automated “AI” captioning was made available through the streaming platform provi</w:t>
      </w:r>
      <w:r w:rsidR="00015239">
        <w:rPr>
          <w:sz w:val="24"/>
          <w:szCs w:val="24"/>
        </w:rPr>
        <w:t xml:space="preserve">der (YUJA) for recorded content </w:t>
      </w:r>
      <w:r>
        <w:rPr>
          <w:sz w:val="24"/>
          <w:szCs w:val="24"/>
        </w:rPr>
        <w:t xml:space="preserve">and </w:t>
      </w:r>
      <w:r w:rsidR="00811687">
        <w:rPr>
          <w:sz w:val="24"/>
          <w:szCs w:val="24"/>
        </w:rPr>
        <w:t>human captioning</w:t>
      </w:r>
      <w:r>
        <w:rPr>
          <w:sz w:val="24"/>
          <w:szCs w:val="24"/>
        </w:rPr>
        <w:t xml:space="preserve"> was also made available through YUJA upon notification of student academic accommodation. Live real-time captioning was</w:t>
      </w:r>
      <w:r w:rsidR="000152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available during live Zoom sessions as part of students’ academic accommodations. </w:t>
      </w:r>
      <w:r w:rsidR="00015239">
        <w:rPr>
          <w:rFonts w:cs="Arial"/>
          <w:color w:val="000000"/>
          <w:sz w:val="24"/>
          <w:szCs w:val="24"/>
        </w:rPr>
        <w:t>Zoom then became available with</w:t>
      </w:r>
      <w:r w:rsidR="00015239" w:rsidRPr="00015239">
        <w:rPr>
          <w:rFonts w:cs="Arial"/>
          <w:color w:val="000000"/>
          <w:sz w:val="24"/>
          <w:szCs w:val="24"/>
        </w:rPr>
        <w:t xml:space="preserve"> integrated (aut</w:t>
      </w:r>
      <w:r w:rsidR="00015239">
        <w:rPr>
          <w:rFonts w:cs="Arial"/>
          <w:color w:val="000000"/>
          <w:sz w:val="24"/>
          <w:szCs w:val="24"/>
        </w:rPr>
        <w:t>omated) captioning available through the menu settings in Trent Zoom accounts. A</w:t>
      </w:r>
      <w:r w:rsidR="00015239" w:rsidRPr="00015239">
        <w:rPr>
          <w:rFonts w:cs="Arial"/>
          <w:color w:val="000000"/>
          <w:sz w:val="24"/>
          <w:szCs w:val="24"/>
        </w:rPr>
        <w:t>s of January</w:t>
      </w:r>
      <w:r w:rsidR="00015239">
        <w:rPr>
          <w:rFonts w:cs="Arial"/>
          <w:color w:val="000000"/>
          <w:sz w:val="24"/>
          <w:szCs w:val="24"/>
        </w:rPr>
        <w:t xml:space="preserve"> 2021</w:t>
      </w:r>
      <w:r w:rsidR="00015239" w:rsidRPr="00015239">
        <w:rPr>
          <w:rFonts w:cs="Arial"/>
          <w:color w:val="000000"/>
          <w:sz w:val="24"/>
          <w:szCs w:val="24"/>
        </w:rPr>
        <w:t xml:space="preserve">, </w:t>
      </w:r>
      <w:r w:rsidR="00015239">
        <w:rPr>
          <w:rFonts w:cs="Arial"/>
          <w:color w:val="000000"/>
          <w:sz w:val="24"/>
          <w:szCs w:val="24"/>
        </w:rPr>
        <w:t xml:space="preserve">this feature </w:t>
      </w:r>
      <w:r w:rsidR="002256BE">
        <w:rPr>
          <w:rFonts w:cs="Arial"/>
          <w:color w:val="000000"/>
          <w:sz w:val="24"/>
          <w:szCs w:val="24"/>
        </w:rPr>
        <w:t>was</w:t>
      </w:r>
      <w:r w:rsidR="00015239" w:rsidRPr="00015239">
        <w:rPr>
          <w:rFonts w:cs="Arial"/>
          <w:color w:val="000000"/>
          <w:sz w:val="24"/>
          <w:szCs w:val="24"/>
        </w:rPr>
        <w:t xml:space="preserve"> enabled by default for all authenticated @trentu.ca email accounts.</w:t>
      </w:r>
    </w:p>
    <w:p w14:paraId="00DF026B" w14:textId="3A7A964F" w:rsidR="00720781" w:rsidRDefault="00720781" w:rsidP="00720781">
      <w:pPr>
        <w:pStyle w:val="Heading30"/>
        <w:rPr>
          <w:sz w:val="24"/>
          <w:szCs w:val="24"/>
          <w:u w:val="none"/>
          <w:lang w:val="en-US"/>
        </w:rPr>
      </w:pPr>
      <w:bookmarkStart w:id="8" w:name="_Toc58245609"/>
      <w:r w:rsidRPr="009A59A0">
        <w:rPr>
          <w:rFonts w:cs="Arial"/>
          <w:color w:val="000000"/>
          <w:sz w:val="24"/>
          <w:szCs w:val="24"/>
          <w:u w:val="none"/>
          <w:lang w:val="en-US"/>
        </w:rPr>
        <w:t xml:space="preserve">IASR </w:t>
      </w:r>
      <w:r w:rsidRPr="009A59A0">
        <w:rPr>
          <w:sz w:val="24"/>
          <w:szCs w:val="24"/>
          <w:u w:val="none"/>
          <w:lang w:val="en-US"/>
        </w:rPr>
        <w:t>Section 16 – Training for Educators</w:t>
      </w:r>
      <w:bookmarkEnd w:id="8"/>
      <w:r>
        <w:rPr>
          <w:sz w:val="24"/>
          <w:szCs w:val="24"/>
          <w:u w:val="none"/>
          <w:lang w:val="en-US"/>
        </w:rPr>
        <w:t xml:space="preserve"> </w:t>
      </w:r>
    </w:p>
    <w:p w14:paraId="1605AD55" w14:textId="41A9BB4E" w:rsidR="006B16A7" w:rsidRPr="0015740F" w:rsidRDefault="00A8680A" w:rsidP="0015740F">
      <w:pPr>
        <w:spacing w:after="100" w:afterAutospacing="1"/>
        <w:rPr>
          <w:sz w:val="24"/>
          <w:szCs w:val="24"/>
        </w:rPr>
      </w:pPr>
      <w:r w:rsidRPr="0022267E">
        <w:rPr>
          <w:sz w:val="24"/>
          <w:szCs w:val="24"/>
        </w:rPr>
        <w:t>Trent continues to offer training for educators related to classroom accessibility and meeting students’ needs. This trai</w:t>
      </w:r>
      <w:r w:rsidR="00AF57A5">
        <w:rPr>
          <w:sz w:val="24"/>
          <w:szCs w:val="24"/>
        </w:rPr>
        <w:t>ning resides on Blackboard</w:t>
      </w:r>
      <w:r w:rsidRPr="0022267E">
        <w:rPr>
          <w:sz w:val="24"/>
          <w:szCs w:val="24"/>
        </w:rPr>
        <w:t xml:space="preserve"> and com</w:t>
      </w:r>
      <w:r w:rsidR="000C1869" w:rsidRPr="0022267E">
        <w:rPr>
          <w:sz w:val="24"/>
          <w:szCs w:val="24"/>
        </w:rPr>
        <w:t xml:space="preserve">pletion of training is tracked, </w:t>
      </w:r>
      <w:r w:rsidRPr="0022267E">
        <w:rPr>
          <w:sz w:val="24"/>
          <w:szCs w:val="24"/>
        </w:rPr>
        <w:t>as required</w:t>
      </w:r>
      <w:r w:rsidR="000C1869" w:rsidRPr="0022267E">
        <w:rPr>
          <w:sz w:val="24"/>
          <w:szCs w:val="24"/>
        </w:rPr>
        <w:t xml:space="preserve"> </w:t>
      </w:r>
      <w:r w:rsidRPr="0022267E">
        <w:rPr>
          <w:sz w:val="24"/>
          <w:szCs w:val="24"/>
        </w:rPr>
        <w:t xml:space="preserve">by the AODA legislation. </w:t>
      </w:r>
    </w:p>
    <w:p w14:paraId="72D7411C" w14:textId="77777777" w:rsidR="007624CD" w:rsidRPr="006B16A7" w:rsidRDefault="00196E85" w:rsidP="006B16A7">
      <w:pPr>
        <w:pStyle w:val="Heading30"/>
        <w:rPr>
          <w:sz w:val="24"/>
          <w:szCs w:val="24"/>
          <w:u w:val="none"/>
          <w:lang w:val="en-US"/>
        </w:rPr>
      </w:pPr>
      <w:bookmarkStart w:id="9" w:name="_Toc58245610"/>
      <w:r w:rsidRPr="00811687">
        <w:rPr>
          <w:sz w:val="24"/>
          <w:szCs w:val="24"/>
          <w:u w:val="none"/>
          <w:lang w:val="en-US"/>
        </w:rPr>
        <w:t xml:space="preserve">IASR </w:t>
      </w:r>
      <w:r w:rsidR="007624CD" w:rsidRPr="00811687">
        <w:rPr>
          <w:sz w:val="24"/>
          <w:szCs w:val="24"/>
          <w:u w:val="none"/>
          <w:lang w:val="en-US"/>
        </w:rPr>
        <w:t xml:space="preserve">Section 18 </w:t>
      </w:r>
      <w:r w:rsidR="006F2760" w:rsidRPr="00811687">
        <w:rPr>
          <w:sz w:val="24"/>
          <w:szCs w:val="24"/>
          <w:u w:val="none"/>
          <w:lang w:val="en-US"/>
        </w:rPr>
        <w:t>– Libraries of Educational and Training Institutions</w:t>
      </w:r>
      <w:bookmarkEnd w:id="9"/>
    </w:p>
    <w:p w14:paraId="3BE96CAD" w14:textId="28E564DD" w:rsidR="00BE7EFA" w:rsidRDefault="008C6AD9" w:rsidP="00E170A9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  <w:lang w:val="en-US"/>
        </w:rPr>
        <w:t>Trent’s two libraries</w:t>
      </w:r>
      <w:r w:rsidR="007119F8" w:rsidRPr="00036D6C">
        <w:rPr>
          <w:rFonts w:cs="Arial"/>
          <w:color w:val="000000"/>
          <w:sz w:val="24"/>
          <w:szCs w:val="24"/>
          <w:lang w:val="en-US"/>
        </w:rPr>
        <w:t xml:space="preserve"> </w:t>
      </w:r>
      <w:r w:rsidR="009A59A0">
        <w:rPr>
          <w:rFonts w:cs="Arial"/>
          <w:color w:val="000000"/>
          <w:sz w:val="24"/>
          <w:szCs w:val="24"/>
          <w:lang w:val="en-US"/>
        </w:rPr>
        <w:t xml:space="preserve">met </w:t>
      </w:r>
      <w:r w:rsidR="007119F8" w:rsidRPr="00036D6C">
        <w:rPr>
          <w:rFonts w:cs="Arial"/>
          <w:color w:val="000000"/>
          <w:sz w:val="24"/>
          <w:szCs w:val="24"/>
          <w:lang w:val="en-US"/>
        </w:rPr>
        <w:t>c</w:t>
      </w:r>
      <w:r w:rsidR="001C5512">
        <w:rPr>
          <w:rFonts w:cs="Arial"/>
          <w:color w:val="000000"/>
          <w:sz w:val="24"/>
          <w:szCs w:val="24"/>
          <w:lang w:val="en-US"/>
        </w:rPr>
        <w:t xml:space="preserve">ompliance requirements for </w:t>
      </w:r>
      <w:r w:rsidR="00AF237D">
        <w:rPr>
          <w:rFonts w:cs="Arial"/>
          <w:color w:val="000000"/>
          <w:sz w:val="24"/>
          <w:szCs w:val="24"/>
          <w:lang w:val="en-US"/>
        </w:rPr>
        <w:t xml:space="preserve">January 1, </w:t>
      </w:r>
      <w:r w:rsidR="001C5512">
        <w:rPr>
          <w:rFonts w:cs="Arial"/>
          <w:color w:val="000000"/>
          <w:sz w:val="24"/>
          <w:szCs w:val="24"/>
          <w:lang w:val="en-US"/>
        </w:rPr>
        <w:t xml:space="preserve">2020, </w:t>
      </w:r>
      <w:r w:rsidR="007119F8" w:rsidRPr="00036D6C">
        <w:rPr>
          <w:rFonts w:cs="Arial"/>
          <w:color w:val="000000"/>
          <w:sz w:val="24"/>
          <w:szCs w:val="24"/>
          <w:lang w:val="en-US"/>
        </w:rPr>
        <w:t>which pertain</w:t>
      </w:r>
      <w:r w:rsidR="008C60C8">
        <w:rPr>
          <w:rFonts w:cs="Arial"/>
          <w:color w:val="000000"/>
          <w:sz w:val="24"/>
          <w:szCs w:val="24"/>
          <w:lang w:val="en-US"/>
        </w:rPr>
        <w:t>ed</w:t>
      </w:r>
      <w:r w:rsidR="007119F8" w:rsidRPr="00036D6C">
        <w:rPr>
          <w:rFonts w:cs="Arial"/>
          <w:color w:val="000000"/>
          <w:sz w:val="24"/>
          <w:szCs w:val="24"/>
          <w:lang w:val="en-US"/>
        </w:rPr>
        <w:t xml:space="preserve"> to providing, upon request, conversion-ready or accessible formats of di</w:t>
      </w:r>
      <w:r w:rsidR="001C5512">
        <w:rPr>
          <w:rFonts w:cs="Arial"/>
          <w:color w:val="000000"/>
          <w:sz w:val="24"/>
          <w:szCs w:val="24"/>
          <w:lang w:val="en-US"/>
        </w:rPr>
        <w:t>gital and multimedia resources.</w:t>
      </w:r>
      <w:r w:rsidR="00922313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gramStart"/>
      <w:r w:rsidR="00BE7EFA" w:rsidRPr="00BE7EFA">
        <w:rPr>
          <w:rFonts w:cs="Arial"/>
          <w:color w:val="000000"/>
          <w:sz w:val="24"/>
          <w:szCs w:val="24"/>
        </w:rPr>
        <w:t>The</w:t>
      </w:r>
      <w:proofErr w:type="gramEnd"/>
      <w:r w:rsidR="00BE7EFA" w:rsidRPr="00BE7EFA">
        <w:rPr>
          <w:rFonts w:cs="Arial"/>
          <w:color w:val="000000"/>
          <w:sz w:val="24"/>
          <w:szCs w:val="24"/>
        </w:rPr>
        <w:t xml:space="preserve"> Library implemented </w:t>
      </w:r>
      <w:r w:rsidR="00BE7EFA" w:rsidRPr="00BE7EFA">
        <w:rPr>
          <w:rFonts w:cs="Arial"/>
          <w:b/>
          <w:bCs/>
          <w:color w:val="000000"/>
          <w:sz w:val="24"/>
          <w:szCs w:val="24"/>
        </w:rPr>
        <w:t>Omni</w:t>
      </w:r>
      <w:r w:rsidR="00BE7EFA" w:rsidRPr="00BE7EFA">
        <w:rPr>
          <w:rFonts w:cs="Arial"/>
          <w:color w:val="000000"/>
          <w:sz w:val="24"/>
          <w:szCs w:val="24"/>
        </w:rPr>
        <w:t xml:space="preserve"> a new academic search tool in December 2019. The Omni search tool provides quick and easy access to all types of library resources including print and digital resources. During Covid-19 restrictions to the physical collections, material c</w:t>
      </w:r>
      <w:r w:rsidR="006F582A">
        <w:rPr>
          <w:rFonts w:cs="Arial"/>
          <w:color w:val="000000"/>
          <w:sz w:val="24"/>
          <w:szCs w:val="24"/>
        </w:rPr>
        <w:t>ould</w:t>
      </w:r>
      <w:r w:rsidR="00BE7EFA" w:rsidRPr="00BE7EFA">
        <w:rPr>
          <w:rFonts w:cs="Arial"/>
          <w:color w:val="000000"/>
          <w:sz w:val="24"/>
          <w:szCs w:val="24"/>
        </w:rPr>
        <w:t xml:space="preserve"> be selected and picked up at the Library service desk. Omni is a collaborative project involving 14 Ontario university libraries; s</w:t>
      </w:r>
      <w:r w:rsidR="00FB0E29">
        <w:rPr>
          <w:rFonts w:cs="Arial"/>
          <w:color w:val="000000"/>
          <w:sz w:val="24"/>
          <w:szCs w:val="24"/>
        </w:rPr>
        <w:t>earches can be limited to what is</w:t>
      </w:r>
      <w:r w:rsidR="00BE7EFA" w:rsidRPr="00BE7EFA">
        <w:rPr>
          <w:rFonts w:cs="Arial"/>
          <w:color w:val="000000"/>
          <w:sz w:val="24"/>
          <w:szCs w:val="24"/>
        </w:rPr>
        <w:t xml:space="preserve"> available through the Trent Library, or broaden it out to material held at other libraries. Automated forms are integrated to request material from other libraries using interlibrary loans.</w:t>
      </w:r>
    </w:p>
    <w:p w14:paraId="0B30A5E4" w14:textId="77777777" w:rsidR="00F63F03" w:rsidRDefault="00F63F03" w:rsidP="00E170A9">
      <w:pPr>
        <w:rPr>
          <w:rFonts w:cs="Arial"/>
          <w:color w:val="000000"/>
          <w:sz w:val="24"/>
          <w:szCs w:val="24"/>
          <w:lang w:val="en-US"/>
        </w:rPr>
      </w:pPr>
    </w:p>
    <w:p w14:paraId="5E580CB1" w14:textId="7F6E40D6" w:rsidR="007C3280" w:rsidRPr="009A59A0" w:rsidRDefault="007C3280" w:rsidP="007C3280">
      <w:pPr>
        <w:pStyle w:val="Heading30"/>
        <w:rPr>
          <w:sz w:val="24"/>
          <w:szCs w:val="24"/>
          <w:u w:val="none"/>
          <w:lang w:val="en-US"/>
        </w:rPr>
      </w:pPr>
      <w:bookmarkStart w:id="10" w:name="_Toc58245611"/>
      <w:r w:rsidRPr="009A59A0">
        <w:rPr>
          <w:rFonts w:cs="Arial"/>
          <w:color w:val="000000"/>
          <w:sz w:val="24"/>
          <w:szCs w:val="24"/>
          <w:u w:val="none"/>
          <w:lang w:val="en-US"/>
        </w:rPr>
        <w:lastRenderedPageBreak/>
        <w:t xml:space="preserve">IASR </w:t>
      </w:r>
      <w:r w:rsidRPr="009A59A0">
        <w:rPr>
          <w:sz w:val="24"/>
          <w:szCs w:val="24"/>
          <w:u w:val="none"/>
          <w:lang w:val="en-US"/>
        </w:rPr>
        <w:t>Section 27</w:t>
      </w:r>
      <w:r w:rsidR="00C2306E" w:rsidRPr="009A59A0">
        <w:rPr>
          <w:sz w:val="24"/>
          <w:szCs w:val="24"/>
          <w:u w:val="none"/>
          <w:lang w:val="en-US"/>
        </w:rPr>
        <w:t xml:space="preserve"> –Workplace Emergency Response Information</w:t>
      </w:r>
      <w:bookmarkEnd w:id="10"/>
      <w:r w:rsidR="00C2306E" w:rsidRPr="009A59A0">
        <w:rPr>
          <w:sz w:val="24"/>
          <w:szCs w:val="24"/>
          <w:u w:val="none"/>
          <w:lang w:val="en-US"/>
        </w:rPr>
        <w:t xml:space="preserve"> </w:t>
      </w:r>
    </w:p>
    <w:p w14:paraId="72293573" w14:textId="208146FD" w:rsidR="007C3280" w:rsidRPr="0015740F" w:rsidRDefault="00C2306E" w:rsidP="0015740F">
      <w:pPr>
        <w:spacing w:after="100" w:afterAutospacing="1"/>
        <w:rPr>
          <w:b/>
          <w:sz w:val="24"/>
          <w:szCs w:val="24"/>
          <w:lang w:val="en-US"/>
        </w:rPr>
      </w:pPr>
      <w:r w:rsidRPr="000C1869">
        <w:rPr>
          <w:sz w:val="24"/>
          <w:szCs w:val="24"/>
          <w:lang w:val="en-US"/>
        </w:rPr>
        <w:t xml:space="preserve">CHREA worked with Trent’s </w:t>
      </w:r>
      <w:r w:rsidR="00C21923">
        <w:rPr>
          <w:sz w:val="24"/>
          <w:szCs w:val="24"/>
          <w:lang w:val="en-US"/>
        </w:rPr>
        <w:t>pandemic planning group</w:t>
      </w:r>
      <w:r w:rsidRPr="000C1869">
        <w:rPr>
          <w:sz w:val="24"/>
          <w:szCs w:val="24"/>
          <w:lang w:val="en-US"/>
        </w:rPr>
        <w:t xml:space="preserve"> to communicat</w:t>
      </w:r>
      <w:r w:rsidR="002C2A94">
        <w:rPr>
          <w:sz w:val="24"/>
          <w:szCs w:val="24"/>
          <w:lang w:val="en-US"/>
        </w:rPr>
        <w:t>e</w:t>
      </w:r>
      <w:r w:rsidRPr="000C1869">
        <w:rPr>
          <w:sz w:val="24"/>
          <w:szCs w:val="24"/>
          <w:lang w:val="en-US"/>
        </w:rPr>
        <w:t xml:space="preserve"> and support the implementation of Individual Emergency Response Plans</w:t>
      </w:r>
      <w:r w:rsidR="003B071F" w:rsidRPr="000C1869">
        <w:rPr>
          <w:b/>
          <w:sz w:val="24"/>
          <w:szCs w:val="24"/>
          <w:lang w:val="en-US"/>
        </w:rPr>
        <w:t xml:space="preserve"> </w:t>
      </w:r>
      <w:r w:rsidR="003B071F" w:rsidRPr="00FB5D98">
        <w:rPr>
          <w:sz w:val="24"/>
          <w:szCs w:val="24"/>
          <w:lang w:val="en-US"/>
        </w:rPr>
        <w:t>(IERPs)</w:t>
      </w:r>
      <w:r w:rsidRPr="00FB5D98">
        <w:rPr>
          <w:sz w:val="24"/>
          <w:szCs w:val="24"/>
          <w:lang w:val="en-US"/>
        </w:rPr>
        <w:t>,</w:t>
      </w:r>
      <w:r w:rsidRPr="000C1869">
        <w:rPr>
          <w:sz w:val="24"/>
          <w:szCs w:val="24"/>
          <w:lang w:val="en-US"/>
        </w:rPr>
        <w:t xml:space="preserve"> as part of the Trent Forward plans, which promoted safe return to campus </w:t>
      </w:r>
      <w:r w:rsidR="00FB5D98">
        <w:rPr>
          <w:sz w:val="24"/>
          <w:szCs w:val="24"/>
          <w:lang w:val="en-US"/>
        </w:rPr>
        <w:t>during</w:t>
      </w:r>
      <w:r w:rsidRPr="000C1869">
        <w:rPr>
          <w:sz w:val="24"/>
          <w:szCs w:val="24"/>
          <w:lang w:val="en-US"/>
        </w:rPr>
        <w:t xml:space="preserve"> the COVID-19 pandemic. </w:t>
      </w:r>
    </w:p>
    <w:p w14:paraId="14E74C13" w14:textId="434DD1E7" w:rsidR="0019063A" w:rsidRPr="00DB0F44" w:rsidRDefault="00DB0F44" w:rsidP="00DB0F44">
      <w:pPr>
        <w:pStyle w:val="Heading30"/>
        <w:rPr>
          <w:sz w:val="24"/>
          <w:szCs w:val="24"/>
          <w:u w:val="none"/>
          <w:lang w:val="en-US"/>
        </w:rPr>
      </w:pPr>
      <w:bookmarkStart w:id="11" w:name="_Toc58245612"/>
      <w:r w:rsidRPr="00DB0F44">
        <w:rPr>
          <w:sz w:val="24"/>
          <w:szCs w:val="24"/>
          <w:u w:val="none"/>
          <w:lang w:val="en-US"/>
        </w:rPr>
        <w:t xml:space="preserve">IASR </w:t>
      </w:r>
      <w:r>
        <w:rPr>
          <w:sz w:val="24"/>
          <w:szCs w:val="24"/>
          <w:u w:val="none"/>
          <w:lang w:val="en-US"/>
        </w:rPr>
        <w:t>Section 80.1</w:t>
      </w:r>
      <w:r w:rsidR="008548AA" w:rsidRPr="00DB0F44">
        <w:rPr>
          <w:sz w:val="24"/>
          <w:szCs w:val="24"/>
          <w:u w:val="none"/>
          <w:lang w:val="en-US"/>
        </w:rPr>
        <w:t xml:space="preserve"> – 80.44 </w:t>
      </w:r>
      <w:r w:rsidR="0019063A" w:rsidRPr="00DB0F44">
        <w:rPr>
          <w:sz w:val="24"/>
          <w:szCs w:val="24"/>
          <w:u w:val="none"/>
          <w:lang w:val="en-US"/>
        </w:rPr>
        <w:t>Design of Public Spaces Standard</w:t>
      </w:r>
      <w:bookmarkEnd w:id="11"/>
    </w:p>
    <w:p w14:paraId="2372F28B" w14:textId="321C4DA8" w:rsidR="00324A07" w:rsidRDefault="009B1F83" w:rsidP="00777143">
      <w:pPr>
        <w:spacing w:after="100" w:afterAutospacing="1"/>
        <w:rPr>
          <w:rFonts w:cs="Arial"/>
          <w:color w:val="000000"/>
          <w:sz w:val="24"/>
          <w:szCs w:val="24"/>
          <w:lang w:val="en-US"/>
        </w:rPr>
      </w:pPr>
      <w:r w:rsidRPr="00A073C2">
        <w:rPr>
          <w:rFonts w:cs="Arial"/>
          <w:color w:val="000000"/>
          <w:sz w:val="24"/>
          <w:szCs w:val="24"/>
          <w:lang w:val="en-US"/>
        </w:rPr>
        <w:t>Facilities Management employs Project Managers with expertise on the Ontario Bui</w:t>
      </w:r>
      <w:r w:rsidR="00362B88">
        <w:rPr>
          <w:rFonts w:cs="Arial"/>
          <w:color w:val="000000"/>
          <w:sz w:val="24"/>
          <w:szCs w:val="24"/>
          <w:lang w:val="en-US"/>
        </w:rPr>
        <w:t>lding Code requirements including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 those related to accessibility. When applicable, as determined by Project Managers, CHREA </w:t>
      </w:r>
      <w:r w:rsidR="007B6A10">
        <w:rPr>
          <w:rFonts w:cs="Arial"/>
          <w:color w:val="000000"/>
          <w:sz w:val="24"/>
          <w:szCs w:val="24"/>
          <w:lang w:val="en-US"/>
        </w:rPr>
        <w:t>staff are</w:t>
      </w:r>
      <w:r w:rsidR="00484D79">
        <w:rPr>
          <w:rFonts w:cs="Arial"/>
          <w:color w:val="000000"/>
          <w:sz w:val="24"/>
          <w:szCs w:val="24"/>
          <w:lang w:val="en-US"/>
        </w:rPr>
        <w:t xml:space="preserve"> 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consulted on aspects of accessibility, such as </w:t>
      </w:r>
      <w:r w:rsidR="008C6AD9">
        <w:rPr>
          <w:rFonts w:cs="Arial"/>
          <w:color w:val="000000"/>
          <w:sz w:val="24"/>
          <w:szCs w:val="24"/>
          <w:lang w:val="en-US"/>
        </w:rPr>
        <w:t xml:space="preserve">those 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contained in the </w:t>
      </w:r>
      <w:r w:rsidRPr="00122EC0">
        <w:rPr>
          <w:rFonts w:cs="Arial"/>
          <w:color w:val="000000"/>
          <w:sz w:val="24"/>
          <w:szCs w:val="24"/>
          <w:lang w:val="en-US"/>
        </w:rPr>
        <w:t>AODA</w:t>
      </w:r>
      <w:r w:rsidRPr="00A073C2">
        <w:rPr>
          <w:rFonts w:cs="Arial"/>
          <w:color w:val="000000"/>
          <w:sz w:val="24"/>
          <w:szCs w:val="24"/>
          <w:lang w:val="en-US"/>
        </w:rPr>
        <w:t xml:space="preserve"> or</w:t>
      </w:r>
      <w:r w:rsidR="00362B88">
        <w:rPr>
          <w:rFonts w:cs="Arial"/>
          <w:color w:val="000000"/>
          <w:sz w:val="24"/>
          <w:szCs w:val="24"/>
          <w:lang w:val="en-US"/>
        </w:rPr>
        <w:t xml:space="preserve"> </w:t>
      </w:r>
      <w:r w:rsidR="00A24433">
        <w:rPr>
          <w:rFonts w:cs="Arial"/>
          <w:color w:val="000000"/>
          <w:sz w:val="24"/>
          <w:szCs w:val="24"/>
          <w:lang w:val="en-US"/>
        </w:rPr>
        <w:t>those</w:t>
      </w:r>
      <w:r w:rsidR="008C6AD9">
        <w:rPr>
          <w:rFonts w:cs="Arial"/>
          <w:color w:val="000000"/>
          <w:sz w:val="24"/>
          <w:szCs w:val="24"/>
          <w:lang w:val="en-US"/>
        </w:rPr>
        <w:t xml:space="preserve"> that </w:t>
      </w:r>
      <w:r w:rsidRPr="00A073C2">
        <w:rPr>
          <w:rFonts w:cs="Arial"/>
          <w:color w:val="000000"/>
          <w:sz w:val="24"/>
          <w:szCs w:val="24"/>
          <w:lang w:val="en-US"/>
        </w:rPr>
        <w:t>may go beyond compliance requirements to include best practice</w:t>
      </w:r>
      <w:r w:rsidR="00A073C2" w:rsidRPr="00A073C2">
        <w:rPr>
          <w:rFonts w:cs="Arial"/>
          <w:color w:val="000000"/>
          <w:sz w:val="24"/>
          <w:szCs w:val="24"/>
          <w:lang w:val="en-US"/>
        </w:rPr>
        <w:t>s</w:t>
      </w:r>
      <w:r w:rsidR="003B071F">
        <w:rPr>
          <w:rFonts w:cs="Arial"/>
          <w:color w:val="000000"/>
          <w:sz w:val="24"/>
          <w:szCs w:val="24"/>
          <w:lang w:val="en-US"/>
        </w:rPr>
        <w:t>.</w:t>
      </w:r>
      <w:r w:rsidR="004B4E10">
        <w:rPr>
          <w:rFonts w:cs="Arial"/>
          <w:color w:val="000000"/>
          <w:sz w:val="24"/>
          <w:szCs w:val="24"/>
          <w:lang w:val="en-US"/>
        </w:rPr>
        <w:t xml:space="preserve"> </w:t>
      </w:r>
      <w:r w:rsidR="0034240A" w:rsidRPr="00A073C2">
        <w:rPr>
          <w:rFonts w:cs="Arial"/>
          <w:color w:val="000000"/>
          <w:sz w:val="24"/>
          <w:szCs w:val="24"/>
          <w:lang w:val="en-US"/>
        </w:rPr>
        <w:t>These processes and partnerships help to ensure that compliance requirements are met and</w:t>
      </w:r>
      <w:r w:rsidR="008C6AD9">
        <w:rPr>
          <w:rFonts w:cs="Arial"/>
          <w:color w:val="000000"/>
          <w:sz w:val="24"/>
          <w:szCs w:val="24"/>
          <w:lang w:val="en-US"/>
        </w:rPr>
        <w:t>,</w:t>
      </w:r>
      <w:r w:rsidR="0034240A" w:rsidRPr="00A073C2">
        <w:rPr>
          <w:rFonts w:cs="Arial"/>
          <w:color w:val="000000"/>
          <w:sz w:val="24"/>
          <w:szCs w:val="24"/>
          <w:lang w:val="en-US"/>
        </w:rPr>
        <w:t xml:space="preserve"> where possib</w:t>
      </w:r>
      <w:r w:rsidR="00A073C2" w:rsidRPr="00A073C2">
        <w:rPr>
          <w:rFonts w:cs="Arial"/>
          <w:color w:val="000000"/>
          <w:sz w:val="24"/>
          <w:szCs w:val="24"/>
          <w:lang w:val="en-US"/>
        </w:rPr>
        <w:t>le</w:t>
      </w:r>
      <w:r w:rsidR="008C6AD9">
        <w:rPr>
          <w:rFonts w:cs="Arial"/>
          <w:color w:val="000000"/>
          <w:sz w:val="24"/>
          <w:szCs w:val="24"/>
          <w:lang w:val="en-US"/>
        </w:rPr>
        <w:t>,</w:t>
      </w:r>
      <w:r w:rsidR="00A073C2" w:rsidRPr="00A073C2">
        <w:rPr>
          <w:rFonts w:cs="Arial"/>
          <w:color w:val="000000"/>
          <w:sz w:val="24"/>
          <w:szCs w:val="24"/>
          <w:lang w:val="en-US"/>
        </w:rPr>
        <w:t xml:space="preserve"> exceeded </w:t>
      </w:r>
      <w:proofErr w:type="gramStart"/>
      <w:r w:rsidR="00A073C2" w:rsidRPr="00A073C2">
        <w:rPr>
          <w:rFonts w:cs="Arial"/>
          <w:color w:val="000000"/>
          <w:sz w:val="24"/>
          <w:szCs w:val="24"/>
          <w:lang w:val="en-US"/>
        </w:rPr>
        <w:t>in order to</w:t>
      </w:r>
      <w:proofErr w:type="gramEnd"/>
      <w:r w:rsidR="00A073C2" w:rsidRPr="00A073C2">
        <w:rPr>
          <w:rFonts w:cs="Arial"/>
          <w:color w:val="000000"/>
          <w:sz w:val="24"/>
          <w:szCs w:val="24"/>
          <w:lang w:val="en-US"/>
        </w:rPr>
        <w:t xml:space="preserve"> create</w:t>
      </w:r>
      <w:r w:rsidR="0034240A" w:rsidRPr="00A073C2">
        <w:rPr>
          <w:rFonts w:cs="Arial"/>
          <w:color w:val="000000"/>
          <w:sz w:val="24"/>
          <w:szCs w:val="24"/>
          <w:lang w:val="en-US"/>
        </w:rPr>
        <w:t xml:space="preserve"> inclusive and welcoming space</w:t>
      </w:r>
      <w:r w:rsidR="008C5E10">
        <w:rPr>
          <w:rFonts w:cs="Arial"/>
          <w:color w:val="000000"/>
          <w:sz w:val="24"/>
          <w:szCs w:val="24"/>
          <w:lang w:val="en-US"/>
        </w:rPr>
        <w:t>s</w:t>
      </w:r>
      <w:r w:rsidR="0034240A" w:rsidRPr="00A073C2">
        <w:rPr>
          <w:rFonts w:cs="Arial"/>
          <w:color w:val="000000"/>
          <w:sz w:val="24"/>
          <w:szCs w:val="24"/>
          <w:lang w:val="en-US"/>
        </w:rPr>
        <w:t xml:space="preserve"> for students, fa</w:t>
      </w:r>
      <w:r w:rsidR="008C60C8">
        <w:rPr>
          <w:rFonts w:cs="Arial"/>
          <w:color w:val="000000"/>
          <w:sz w:val="24"/>
          <w:szCs w:val="24"/>
          <w:lang w:val="en-US"/>
        </w:rPr>
        <w:t>cu</w:t>
      </w:r>
      <w:r w:rsidR="00720781">
        <w:rPr>
          <w:rFonts w:cs="Arial"/>
          <w:color w:val="000000"/>
          <w:sz w:val="24"/>
          <w:szCs w:val="24"/>
          <w:lang w:val="en-US"/>
        </w:rPr>
        <w:t>lty, staff and visitors. In 2020</w:t>
      </w:r>
      <w:r w:rsidR="008C60C8">
        <w:rPr>
          <w:rFonts w:cs="Arial"/>
          <w:color w:val="000000"/>
          <w:sz w:val="24"/>
          <w:szCs w:val="24"/>
          <w:lang w:val="en-US"/>
        </w:rPr>
        <w:t xml:space="preserve">, </w:t>
      </w:r>
      <w:r w:rsidR="005C16D5">
        <w:rPr>
          <w:rFonts w:cs="Arial"/>
          <w:color w:val="000000"/>
          <w:sz w:val="24"/>
          <w:szCs w:val="24"/>
          <w:lang w:val="en-US"/>
        </w:rPr>
        <w:t>accessibility</w:t>
      </w:r>
      <w:r w:rsidR="008C60C8">
        <w:rPr>
          <w:rFonts w:cs="Arial"/>
          <w:color w:val="000000"/>
          <w:sz w:val="24"/>
          <w:szCs w:val="24"/>
          <w:lang w:val="en-US"/>
        </w:rPr>
        <w:t xml:space="preserve"> was addressed</w:t>
      </w:r>
      <w:r w:rsidR="005C16D5">
        <w:rPr>
          <w:rFonts w:cs="Arial"/>
          <w:color w:val="000000"/>
          <w:sz w:val="24"/>
          <w:szCs w:val="24"/>
          <w:lang w:val="en-US"/>
        </w:rPr>
        <w:t xml:space="preserve"> in </w:t>
      </w:r>
      <w:proofErr w:type="gramStart"/>
      <w:r w:rsidR="005C16D5">
        <w:rPr>
          <w:rFonts w:cs="Arial"/>
          <w:color w:val="000000"/>
          <w:sz w:val="24"/>
          <w:szCs w:val="24"/>
          <w:lang w:val="en-US"/>
        </w:rPr>
        <w:t>a number of</w:t>
      </w:r>
      <w:proofErr w:type="gramEnd"/>
      <w:r w:rsidR="005C16D5">
        <w:rPr>
          <w:rFonts w:cs="Arial"/>
          <w:color w:val="000000"/>
          <w:sz w:val="24"/>
          <w:szCs w:val="24"/>
          <w:lang w:val="en-US"/>
        </w:rPr>
        <w:t xml:space="preserve"> areas </w:t>
      </w:r>
      <w:r w:rsidR="002B22EE">
        <w:rPr>
          <w:rFonts w:cs="Arial"/>
          <w:color w:val="000000"/>
          <w:sz w:val="24"/>
          <w:szCs w:val="24"/>
          <w:lang w:val="en-US"/>
        </w:rPr>
        <w:t>such as through</w:t>
      </w:r>
      <w:r w:rsidR="008C60C8">
        <w:rPr>
          <w:rFonts w:cs="Arial"/>
          <w:color w:val="000000"/>
          <w:sz w:val="24"/>
          <w:szCs w:val="24"/>
          <w:lang w:val="en-US"/>
        </w:rPr>
        <w:t xml:space="preserve"> </w:t>
      </w:r>
      <w:r w:rsidR="005C16D5">
        <w:rPr>
          <w:rFonts w:cs="Arial"/>
          <w:color w:val="000000"/>
          <w:sz w:val="24"/>
          <w:szCs w:val="24"/>
          <w:lang w:val="en-US"/>
        </w:rPr>
        <w:t xml:space="preserve">updated room and wayfinding signage in </w:t>
      </w:r>
      <w:r w:rsidR="00A80386" w:rsidRPr="00A80386">
        <w:rPr>
          <w:rFonts w:cs="Arial"/>
          <w:color w:val="000000"/>
          <w:sz w:val="24"/>
          <w:szCs w:val="24"/>
          <w:lang w:val="en-US"/>
        </w:rPr>
        <w:t xml:space="preserve">the </w:t>
      </w:r>
      <w:r w:rsidR="00A80386" w:rsidRPr="009A59A0">
        <w:rPr>
          <w:rFonts w:cs="Arial"/>
          <w:color w:val="000000"/>
          <w:sz w:val="24"/>
          <w:szCs w:val="24"/>
          <w:lang w:val="en-US"/>
        </w:rPr>
        <w:t>Science Complex</w:t>
      </w:r>
      <w:r w:rsidR="0022267E">
        <w:rPr>
          <w:rFonts w:cs="Arial"/>
          <w:color w:val="000000"/>
          <w:sz w:val="24"/>
          <w:szCs w:val="24"/>
          <w:lang w:val="en-US"/>
        </w:rPr>
        <w:t xml:space="preserve"> and</w:t>
      </w:r>
      <w:r w:rsidR="005C16D5" w:rsidRPr="009A59A0">
        <w:rPr>
          <w:rFonts w:cs="Arial"/>
          <w:color w:val="000000"/>
          <w:sz w:val="24"/>
          <w:szCs w:val="24"/>
          <w:lang w:val="en-US"/>
        </w:rPr>
        <w:t xml:space="preserve"> La</w:t>
      </w:r>
      <w:r w:rsidR="00A80386" w:rsidRPr="009A59A0">
        <w:rPr>
          <w:rFonts w:cs="Arial"/>
          <w:color w:val="000000"/>
          <w:sz w:val="24"/>
          <w:szCs w:val="24"/>
          <w:lang w:val="en-US"/>
        </w:rPr>
        <w:t>dy Eaton College</w:t>
      </w:r>
      <w:r w:rsidR="006F6037">
        <w:rPr>
          <w:rFonts w:cs="Arial"/>
          <w:color w:val="000000"/>
          <w:sz w:val="24"/>
          <w:szCs w:val="24"/>
          <w:lang w:val="en-US"/>
        </w:rPr>
        <w:t xml:space="preserve"> on Symons Campus</w:t>
      </w:r>
      <w:r w:rsidR="00FD3740" w:rsidRPr="009A59A0">
        <w:rPr>
          <w:rFonts w:cs="Arial"/>
          <w:color w:val="000000"/>
          <w:sz w:val="24"/>
          <w:szCs w:val="24"/>
          <w:lang w:val="en-US"/>
        </w:rPr>
        <w:t xml:space="preserve">. </w:t>
      </w:r>
      <w:r w:rsidR="00A80386" w:rsidRPr="009A59A0">
        <w:rPr>
          <w:rFonts w:cs="Arial"/>
          <w:color w:val="000000"/>
          <w:sz w:val="24"/>
          <w:szCs w:val="24"/>
          <w:lang w:val="en-US"/>
        </w:rPr>
        <w:t>Accessibility was a key consideration in the new student residence on the Durham campus. Accessible doors were</w:t>
      </w:r>
      <w:r w:rsidR="006F582A">
        <w:rPr>
          <w:rFonts w:cs="Arial"/>
          <w:color w:val="000000"/>
          <w:sz w:val="24"/>
          <w:szCs w:val="24"/>
          <w:lang w:val="en-US"/>
        </w:rPr>
        <w:t xml:space="preserve"> also</w:t>
      </w:r>
      <w:r w:rsidR="00A80386" w:rsidRPr="009A59A0">
        <w:rPr>
          <w:rFonts w:cs="Arial"/>
          <w:color w:val="000000"/>
          <w:sz w:val="24"/>
          <w:szCs w:val="24"/>
          <w:lang w:val="en-US"/>
        </w:rPr>
        <w:t xml:space="preserve"> added to locations in the existing</w:t>
      </w:r>
      <w:r w:rsidR="007302FB" w:rsidRPr="009A59A0">
        <w:rPr>
          <w:rFonts w:cs="Arial"/>
          <w:color w:val="000000"/>
          <w:sz w:val="24"/>
          <w:szCs w:val="24"/>
          <w:lang w:val="en-US"/>
        </w:rPr>
        <w:t xml:space="preserve"> Durham campus building. </w:t>
      </w:r>
    </w:p>
    <w:p w14:paraId="0BCF9125" w14:textId="7FD0B15B" w:rsidR="00324A07" w:rsidRPr="00DB0F44" w:rsidRDefault="00720781" w:rsidP="00DB0F44">
      <w:pPr>
        <w:pStyle w:val="Heading30"/>
        <w:rPr>
          <w:sz w:val="24"/>
          <w:szCs w:val="24"/>
          <w:u w:val="none"/>
          <w:lang w:val="en-US"/>
        </w:rPr>
      </w:pPr>
      <w:bookmarkStart w:id="12" w:name="_Toc58245613"/>
      <w:r>
        <w:rPr>
          <w:sz w:val="24"/>
          <w:szCs w:val="24"/>
          <w:u w:val="none"/>
          <w:lang w:val="en-US"/>
        </w:rPr>
        <w:t xml:space="preserve">IASR </w:t>
      </w:r>
      <w:r w:rsidR="00324A07" w:rsidRPr="00DB0F44">
        <w:rPr>
          <w:sz w:val="24"/>
          <w:szCs w:val="24"/>
          <w:u w:val="none"/>
          <w:lang w:val="en-US"/>
        </w:rPr>
        <w:t xml:space="preserve">Section </w:t>
      </w:r>
      <w:r w:rsidR="008548AA" w:rsidRPr="00DB0F44">
        <w:rPr>
          <w:sz w:val="24"/>
          <w:szCs w:val="24"/>
          <w:u w:val="none"/>
          <w:lang w:val="en-US"/>
        </w:rPr>
        <w:t xml:space="preserve">80.49 </w:t>
      </w:r>
      <w:r w:rsidR="00324A07" w:rsidRPr="00DB0F44">
        <w:rPr>
          <w:sz w:val="24"/>
          <w:szCs w:val="24"/>
          <w:u w:val="none"/>
          <w:lang w:val="en-US"/>
        </w:rPr>
        <w:t>– Customer Service Standard Training</w:t>
      </w:r>
      <w:bookmarkEnd w:id="12"/>
    </w:p>
    <w:p w14:paraId="187A6BB2" w14:textId="00F8FD22" w:rsidR="002B22EE" w:rsidRDefault="00C943A4" w:rsidP="0045103F">
      <w:pPr>
        <w:spacing w:after="100" w:afterAutospacing="1"/>
        <w:rPr>
          <w:rFonts w:cs="Arial"/>
          <w:color w:val="000000"/>
          <w:sz w:val="24"/>
          <w:szCs w:val="24"/>
          <w:lang w:val="en-US"/>
        </w:rPr>
      </w:pPr>
      <w:r>
        <w:rPr>
          <w:rFonts w:cs="Arial"/>
          <w:color w:val="000000"/>
          <w:sz w:val="24"/>
          <w:szCs w:val="24"/>
          <w:lang w:val="en-US"/>
        </w:rPr>
        <w:t>Trent</w:t>
      </w:r>
      <w:r w:rsidR="00581860">
        <w:rPr>
          <w:rFonts w:cs="Arial"/>
          <w:color w:val="000000"/>
          <w:sz w:val="24"/>
          <w:szCs w:val="24"/>
          <w:lang w:val="en-US"/>
        </w:rPr>
        <w:t xml:space="preserve"> continue</w:t>
      </w:r>
      <w:r w:rsidR="0022267E">
        <w:rPr>
          <w:rFonts w:cs="Arial"/>
          <w:color w:val="000000"/>
          <w:sz w:val="24"/>
          <w:szCs w:val="24"/>
          <w:lang w:val="en-US"/>
        </w:rPr>
        <w:t>s</w:t>
      </w:r>
      <w:r w:rsidR="00581860">
        <w:rPr>
          <w:rFonts w:cs="Arial"/>
          <w:color w:val="000000"/>
          <w:sz w:val="24"/>
          <w:szCs w:val="24"/>
          <w:lang w:val="en-US"/>
        </w:rPr>
        <w:t xml:space="preserve"> to offer t</w:t>
      </w:r>
      <w:r w:rsidR="00517144" w:rsidRPr="00777143">
        <w:rPr>
          <w:rFonts w:cs="Arial"/>
          <w:color w:val="000000"/>
          <w:sz w:val="24"/>
          <w:szCs w:val="24"/>
          <w:lang w:val="en-US"/>
        </w:rPr>
        <w:t>raining on the Customer S</w:t>
      </w:r>
      <w:r>
        <w:rPr>
          <w:rFonts w:cs="Arial"/>
          <w:color w:val="000000"/>
          <w:sz w:val="24"/>
          <w:szCs w:val="24"/>
          <w:lang w:val="en-US"/>
        </w:rPr>
        <w:t>ervice Standar</w:t>
      </w:r>
      <w:r w:rsidR="00811687">
        <w:rPr>
          <w:rFonts w:cs="Arial"/>
          <w:color w:val="000000"/>
          <w:sz w:val="24"/>
          <w:szCs w:val="24"/>
          <w:lang w:val="en-US"/>
        </w:rPr>
        <w:t xml:space="preserve">d. Due to the COVID-19 pandemic, </w:t>
      </w:r>
      <w:r>
        <w:rPr>
          <w:rFonts w:cs="Arial"/>
          <w:color w:val="000000"/>
          <w:sz w:val="24"/>
          <w:szCs w:val="24"/>
          <w:lang w:val="en-US"/>
        </w:rPr>
        <w:t>all training was moved online through modules or v</w:t>
      </w:r>
      <w:r w:rsidR="00720781">
        <w:rPr>
          <w:rFonts w:cs="Arial"/>
          <w:color w:val="000000"/>
          <w:sz w:val="24"/>
          <w:szCs w:val="24"/>
          <w:lang w:val="en-US"/>
        </w:rPr>
        <w:t>ideoconference workshops as of March</w:t>
      </w:r>
      <w:r>
        <w:rPr>
          <w:rFonts w:cs="Arial"/>
          <w:color w:val="000000"/>
          <w:sz w:val="24"/>
          <w:szCs w:val="24"/>
          <w:lang w:val="en-US"/>
        </w:rPr>
        <w:t xml:space="preserve"> 2020. </w:t>
      </w:r>
    </w:p>
    <w:p w14:paraId="710817C6" w14:textId="5777572A" w:rsidR="00B36F56" w:rsidRPr="0069725F" w:rsidRDefault="00DB0F44" w:rsidP="0069725F">
      <w:pPr>
        <w:pStyle w:val="Heading2"/>
        <w:spacing w:after="100" w:afterAutospacing="1"/>
        <w:rPr>
          <w:rFonts w:cs="Arial"/>
          <w:color w:val="auto"/>
          <w:sz w:val="24"/>
          <w:szCs w:val="24"/>
          <w:lang w:val="en-US"/>
        </w:rPr>
      </w:pPr>
      <w:bookmarkStart w:id="13" w:name="_Toc58245614"/>
      <w:r w:rsidRPr="00765CED">
        <w:rPr>
          <w:color w:val="auto"/>
        </w:rPr>
        <w:t>Contac</w:t>
      </w:r>
      <w:r w:rsidR="0069725F">
        <w:rPr>
          <w:color w:val="auto"/>
        </w:rPr>
        <w:t>t</w:t>
      </w:r>
      <w:bookmarkEnd w:id="13"/>
    </w:p>
    <w:p w14:paraId="1A8251D1" w14:textId="21D4853C" w:rsidR="00AE71F3" w:rsidRPr="002C2A94" w:rsidRDefault="008D2DDC" w:rsidP="00122EC0">
      <w:pPr>
        <w:rPr>
          <w:rFonts w:cstheme="majorBidi"/>
          <w:sz w:val="24"/>
          <w:szCs w:val="24"/>
        </w:rPr>
      </w:pPr>
      <w:r w:rsidRPr="00122EC0">
        <w:rPr>
          <w:sz w:val="24"/>
          <w:szCs w:val="24"/>
        </w:rPr>
        <w:t>Andrea Walsh, OT Reg. (Ont.)</w:t>
      </w:r>
    </w:p>
    <w:p w14:paraId="1489837D" w14:textId="77777777" w:rsidR="004C4452" w:rsidRPr="00122EC0" w:rsidRDefault="004C4452" w:rsidP="00122EC0">
      <w:pPr>
        <w:rPr>
          <w:sz w:val="24"/>
          <w:szCs w:val="24"/>
        </w:rPr>
      </w:pPr>
      <w:r w:rsidRPr="00122EC0">
        <w:rPr>
          <w:sz w:val="24"/>
          <w:szCs w:val="24"/>
        </w:rPr>
        <w:t>Institutional Accessibility Advisor</w:t>
      </w:r>
    </w:p>
    <w:p w14:paraId="7A860D9A" w14:textId="77777777" w:rsidR="00AE71F3" w:rsidRPr="00122EC0" w:rsidRDefault="00F31078" w:rsidP="00122EC0">
      <w:pPr>
        <w:rPr>
          <w:sz w:val="24"/>
          <w:szCs w:val="24"/>
        </w:rPr>
      </w:pPr>
      <w:r w:rsidRPr="00122EC0">
        <w:rPr>
          <w:sz w:val="24"/>
          <w:szCs w:val="24"/>
        </w:rPr>
        <w:t>Centre for</w:t>
      </w:r>
      <w:r w:rsidR="00AE71F3" w:rsidRPr="00122EC0">
        <w:rPr>
          <w:sz w:val="24"/>
          <w:szCs w:val="24"/>
        </w:rPr>
        <w:t xml:space="preserve"> Human Rights, Equity and Accessibility</w:t>
      </w:r>
    </w:p>
    <w:p w14:paraId="03C4B9D2" w14:textId="77777777" w:rsidR="00122EC0" w:rsidRPr="00122EC0" w:rsidRDefault="001108A6" w:rsidP="00122EC0">
      <w:pPr>
        <w:rPr>
          <w:sz w:val="24"/>
          <w:szCs w:val="24"/>
          <w:lang w:val="fr-CA"/>
        </w:rPr>
      </w:pPr>
      <w:proofErr w:type="gramStart"/>
      <w:r w:rsidRPr="002C2A94">
        <w:rPr>
          <w:lang w:val="fr-FR"/>
        </w:rPr>
        <w:t>Email:</w:t>
      </w:r>
      <w:proofErr w:type="gramEnd"/>
      <w:r w:rsidR="00D35136" w:rsidRPr="00D35136">
        <w:rPr>
          <w:rStyle w:val="Hyperlink"/>
          <w:sz w:val="24"/>
          <w:szCs w:val="24"/>
          <w:u w:val="none"/>
          <w:lang w:val="fr-CA"/>
        </w:rPr>
        <w:t xml:space="preserve"> </w:t>
      </w:r>
      <w:hyperlink r:id="rId9" w:history="1">
        <w:r w:rsidR="00122EC0" w:rsidRPr="00C849B2">
          <w:rPr>
            <w:rStyle w:val="Hyperlink"/>
            <w:sz w:val="24"/>
            <w:szCs w:val="24"/>
            <w:lang w:val="fr-CA"/>
          </w:rPr>
          <w:t>awalsh@trentu.ca</w:t>
        </w:r>
      </w:hyperlink>
    </w:p>
    <w:p w14:paraId="2D195DEB" w14:textId="77777777" w:rsidR="00AE71F3" w:rsidRPr="00122EC0" w:rsidRDefault="00D35136" w:rsidP="00FC47EA">
      <w:pPr>
        <w:autoSpaceDE w:val="0"/>
        <w:autoSpaceDN w:val="0"/>
        <w:adjustRightInd w:val="0"/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>Phone</w:t>
      </w:r>
      <w:r w:rsidR="00C849B2">
        <w:rPr>
          <w:rFonts w:cs="Arial"/>
          <w:sz w:val="24"/>
          <w:szCs w:val="24"/>
          <w:lang w:val="fr-CA"/>
        </w:rPr>
        <w:t xml:space="preserve">: </w:t>
      </w:r>
      <w:r>
        <w:rPr>
          <w:rFonts w:cs="Arial"/>
          <w:sz w:val="24"/>
          <w:szCs w:val="24"/>
          <w:lang w:val="fr-CA"/>
        </w:rPr>
        <w:t>705-748-1011 e</w:t>
      </w:r>
      <w:r w:rsidR="00AE71F3" w:rsidRPr="00122EC0">
        <w:rPr>
          <w:rFonts w:cs="Arial"/>
          <w:sz w:val="24"/>
          <w:szCs w:val="24"/>
          <w:lang w:val="fr-CA"/>
        </w:rPr>
        <w:t>x</w:t>
      </w:r>
      <w:r w:rsidR="00EC317F" w:rsidRPr="00122EC0">
        <w:rPr>
          <w:rFonts w:cs="Arial"/>
          <w:sz w:val="24"/>
          <w:szCs w:val="24"/>
          <w:lang w:val="fr-CA"/>
        </w:rPr>
        <w:t>t</w:t>
      </w:r>
      <w:r w:rsidR="00FA787D" w:rsidRPr="00122EC0">
        <w:rPr>
          <w:rFonts w:cs="Arial"/>
          <w:sz w:val="24"/>
          <w:szCs w:val="24"/>
          <w:lang w:val="fr-CA"/>
        </w:rPr>
        <w:t xml:space="preserve">ension </w:t>
      </w:r>
      <w:r w:rsidR="008D2DDC" w:rsidRPr="00122EC0">
        <w:rPr>
          <w:rFonts w:cs="Arial"/>
          <w:sz w:val="24"/>
          <w:szCs w:val="24"/>
          <w:lang w:val="fr-CA"/>
        </w:rPr>
        <w:t>6602</w:t>
      </w:r>
      <w:r w:rsidR="00AE71F3" w:rsidRPr="00122EC0">
        <w:rPr>
          <w:rFonts w:cs="Arial"/>
          <w:sz w:val="24"/>
          <w:szCs w:val="24"/>
          <w:lang w:val="fr-CA"/>
        </w:rPr>
        <w:t xml:space="preserve"> </w:t>
      </w:r>
    </w:p>
    <w:sectPr w:rsidR="00AE71F3" w:rsidRPr="00122EC0" w:rsidSect="002B6F8B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AA7F5" w14:textId="77777777" w:rsidR="00F75924" w:rsidRDefault="00F75924" w:rsidP="0052735F">
      <w:r>
        <w:separator/>
      </w:r>
    </w:p>
  </w:endnote>
  <w:endnote w:type="continuationSeparator" w:id="0">
    <w:p w14:paraId="4148DD46" w14:textId="77777777" w:rsidR="00F75924" w:rsidRDefault="00F75924" w:rsidP="0052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82933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641D93" w14:textId="74B29D21" w:rsidR="005D1A93" w:rsidRDefault="002177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3F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3F0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8F59" w14:textId="77777777" w:rsidR="00F75924" w:rsidRDefault="00F75924" w:rsidP="0052735F">
      <w:r>
        <w:separator/>
      </w:r>
    </w:p>
  </w:footnote>
  <w:footnote w:type="continuationSeparator" w:id="0">
    <w:p w14:paraId="28070EE7" w14:textId="77777777" w:rsidR="00F75924" w:rsidRDefault="00F75924" w:rsidP="0052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00639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205D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920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CE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D2A7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EC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CC71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4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34C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B0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61DEA"/>
    <w:multiLevelType w:val="hybridMultilevel"/>
    <w:tmpl w:val="A8D2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46A25"/>
    <w:multiLevelType w:val="hybridMultilevel"/>
    <w:tmpl w:val="D160F50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7C3101"/>
    <w:multiLevelType w:val="hybridMultilevel"/>
    <w:tmpl w:val="6AA6001A"/>
    <w:lvl w:ilvl="0" w:tplc="8E88948A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7AA3"/>
    <w:multiLevelType w:val="hybridMultilevel"/>
    <w:tmpl w:val="40A439D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473B94"/>
    <w:multiLevelType w:val="hybridMultilevel"/>
    <w:tmpl w:val="DB70E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E5B9F"/>
    <w:multiLevelType w:val="hybridMultilevel"/>
    <w:tmpl w:val="3A66C94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264F91"/>
    <w:multiLevelType w:val="hybridMultilevel"/>
    <w:tmpl w:val="8752C1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3868CC"/>
    <w:multiLevelType w:val="hybridMultilevel"/>
    <w:tmpl w:val="3E4EC7B0"/>
    <w:lvl w:ilvl="0" w:tplc="8E88948A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452B0"/>
    <w:multiLevelType w:val="hybridMultilevel"/>
    <w:tmpl w:val="AD9A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31CC7"/>
    <w:multiLevelType w:val="hybridMultilevel"/>
    <w:tmpl w:val="678C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F41F5"/>
    <w:multiLevelType w:val="hybridMultilevel"/>
    <w:tmpl w:val="2B6AC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A73BC"/>
    <w:multiLevelType w:val="hybridMultilevel"/>
    <w:tmpl w:val="7F3EF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21"/>
  </w:num>
  <w:num w:numId="7">
    <w:abstractNumId w:val="12"/>
  </w:num>
  <w:num w:numId="8">
    <w:abstractNumId w:val="17"/>
  </w:num>
  <w:num w:numId="9">
    <w:abstractNumId w:val="20"/>
  </w:num>
  <w:num w:numId="10">
    <w:abstractNumId w:val="10"/>
  </w:num>
  <w:num w:numId="11">
    <w:abstractNumId w:val="19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1A"/>
    <w:rsid w:val="0000008F"/>
    <w:rsid w:val="00003B08"/>
    <w:rsid w:val="0001140A"/>
    <w:rsid w:val="00015239"/>
    <w:rsid w:val="0001726A"/>
    <w:rsid w:val="000213B3"/>
    <w:rsid w:val="0002471A"/>
    <w:rsid w:val="00036D6C"/>
    <w:rsid w:val="000414F3"/>
    <w:rsid w:val="00067216"/>
    <w:rsid w:val="00070224"/>
    <w:rsid w:val="00080DDC"/>
    <w:rsid w:val="0008651A"/>
    <w:rsid w:val="0008792A"/>
    <w:rsid w:val="0009129B"/>
    <w:rsid w:val="000954D5"/>
    <w:rsid w:val="000A3869"/>
    <w:rsid w:val="000A5744"/>
    <w:rsid w:val="000C114E"/>
    <w:rsid w:val="000C1869"/>
    <w:rsid w:val="000D0E82"/>
    <w:rsid w:val="000D162C"/>
    <w:rsid w:val="000D22EE"/>
    <w:rsid w:val="000D4FE6"/>
    <w:rsid w:val="000D6C85"/>
    <w:rsid w:val="000E27C1"/>
    <w:rsid w:val="000E42F4"/>
    <w:rsid w:val="000F0CE1"/>
    <w:rsid w:val="0010064F"/>
    <w:rsid w:val="00104DAC"/>
    <w:rsid w:val="001079CB"/>
    <w:rsid w:val="001108A6"/>
    <w:rsid w:val="00122EC0"/>
    <w:rsid w:val="00126D18"/>
    <w:rsid w:val="0013145F"/>
    <w:rsid w:val="0013495D"/>
    <w:rsid w:val="001407E4"/>
    <w:rsid w:val="0015740F"/>
    <w:rsid w:val="00161EB8"/>
    <w:rsid w:val="001647D4"/>
    <w:rsid w:val="00165841"/>
    <w:rsid w:val="0016727A"/>
    <w:rsid w:val="001679FD"/>
    <w:rsid w:val="00167B91"/>
    <w:rsid w:val="00173C79"/>
    <w:rsid w:val="0019063A"/>
    <w:rsid w:val="00190721"/>
    <w:rsid w:val="0019215E"/>
    <w:rsid w:val="00196E85"/>
    <w:rsid w:val="00197FB7"/>
    <w:rsid w:val="001A3470"/>
    <w:rsid w:val="001A5A0C"/>
    <w:rsid w:val="001B2D56"/>
    <w:rsid w:val="001C5512"/>
    <w:rsid w:val="001C6A0C"/>
    <w:rsid w:val="001D3F36"/>
    <w:rsid w:val="001D648F"/>
    <w:rsid w:val="001E352A"/>
    <w:rsid w:val="001F2308"/>
    <w:rsid w:val="00202F8A"/>
    <w:rsid w:val="00203298"/>
    <w:rsid w:val="0021775E"/>
    <w:rsid w:val="002213DA"/>
    <w:rsid w:val="002217B6"/>
    <w:rsid w:val="0022267E"/>
    <w:rsid w:val="002256BE"/>
    <w:rsid w:val="00234286"/>
    <w:rsid w:val="00234F82"/>
    <w:rsid w:val="00246683"/>
    <w:rsid w:val="00246C3A"/>
    <w:rsid w:val="00251C00"/>
    <w:rsid w:val="00254018"/>
    <w:rsid w:val="0025716D"/>
    <w:rsid w:val="0026432F"/>
    <w:rsid w:val="00267ABA"/>
    <w:rsid w:val="00272767"/>
    <w:rsid w:val="00277048"/>
    <w:rsid w:val="0028317C"/>
    <w:rsid w:val="00293EBC"/>
    <w:rsid w:val="00294BAF"/>
    <w:rsid w:val="00297C98"/>
    <w:rsid w:val="002A0167"/>
    <w:rsid w:val="002A1A4D"/>
    <w:rsid w:val="002A45A2"/>
    <w:rsid w:val="002A55E2"/>
    <w:rsid w:val="002B22EE"/>
    <w:rsid w:val="002B563C"/>
    <w:rsid w:val="002B6DA2"/>
    <w:rsid w:val="002B6F8B"/>
    <w:rsid w:val="002B7587"/>
    <w:rsid w:val="002C0240"/>
    <w:rsid w:val="002C2A94"/>
    <w:rsid w:val="002C472D"/>
    <w:rsid w:val="002C4BC6"/>
    <w:rsid w:val="002C71C0"/>
    <w:rsid w:val="002D3CA5"/>
    <w:rsid w:val="002D59F1"/>
    <w:rsid w:val="002F02D5"/>
    <w:rsid w:val="00300146"/>
    <w:rsid w:val="00311BA4"/>
    <w:rsid w:val="00324A07"/>
    <w:rsid w:val="00332D8D"/>
    <w:rsid w:val="0034240A"/>
    <w:rsid w:val="00345C3C"/>
    <w:rsid w:val="003500D5"/>
    <w:rsid w:val="003626CA"/>
    <w:rsid w:val="00362B88"/>
    <w:rsid w:val="003742F8"/>
    <w:rsid w:val="00376259"/>
    <w:rsid w:val="00381416"/>
    <w:rsid w:val="003A5509"/>
    <w:rsid w:val="003B071F"/>
    <w:rsid w:val="003B3686"/>
    <w:rsid w:val="003C3B31"/>
    <w:rsid w:val="003D2DDF"/>
    <w:rsid w:val="003D3F45"/>
    <w:rsid w:val="003E4BE9"/>
    <w:rsid w:val="00401335"/>
    <w:rsid w:val="00401B75"/>
    <w:rsid w:val="00414D41"/>
    <w:rsid w:val="00425587"/>
    <w:rsid w:val="00426B50"/>
    <w:rsid w:val="00432BF7"/>
    <w:rsid w:val="0045103F"/>
    <w:rsid w:val="00452A23"/>
    <w:rsid w:val="004549BB"/>
    <w:rsid w:val="0045573A"/>
    <w:rsid w:val="00455B96"/>
    <w:rsid w:val="00457B58"/>
    <w:rsid w:val="00457DA0"/>
    <w:rsid w:val="00465574"/>
    <w:rsid w:val="00465BD4"/>
    <w:rsid w:val="00484D79"/>
    <w:rsid w:val="00493A16"/>
    <w:rsid w:val="004A6BF1"/>
    <w:rsid w:val="004B4E10"/>
    <w:rsid w:val="004C4452"/>
    <w:rsid w:val="004C5F0F"/>
    <w:rsid w:val="004D19A7"/>
    <w:rsid w:val="004E159C"/>
    <w:rsid w:val="004E549B"/>
    <w:rsid w:val="004E740E"/>
    <w:rsid w:val="004F033F"/>
    <w:rsid w:val="004F3720"/>
    <w:rsid w:val="004F43DF"/>
    <w:rsid w:val="004F492C"/>
    <w:rsid w:val="004F68FC"/>
    <w:rsid w:val="00501515"/>
    <w:rsid w:val="00517144"/>
    <w:rsid w:val="00520D15"/>
    <w:rsid w:val="00525422"/>
    <w:rsid w:val="0052735F"/>
    <w:rsid w:val="0053122B"/>
    <w:rsid w:val="00537213"/>
    <w:rsid w:val="00541CB4"/>
    <w:rsid w:val="00545F7A"/>
    <w:rsid w:val="00547EF1"/>
    <w:rsid w:val="00556003"/>
    <w:rsid w:val="005561C2"/>
    <w:rsid w:val="0055758C"/>
    <w:rsid w:val="005648FA"/>
    <w:rsid w:val="00566E2E"/>
    <w:rsid w:val="0057272E"/>
    <w:rsid w:val="0058021C"/>
    <w:rsid w:val="00581860"/>
    <w:rsid w:val="00586B67"/>
    <w:rsid w:val="0058745B"/>
    <w:rsid w:val="00592919"/>
    <w:rsid w:val="005A033D"/>
    <w:rsid w:val="005A741E"/>
    <w:rsid w:val="005C16D5"/>
    <w:rsid w:val="005C3E06"/>
    <w:rsid w:val="005C4F21"/>
    <w:rsid w:val="005C6268"/>
    <w:rsid w:val="005C6B26"/>
    <w:rsid w:val="005D1A93"/>
    <w:rsid w:val="005D4530"/>
    <w:rsid w:val="005D6723"/>
    <w:rsid w:val="005E326D"/>
    <w:rsid w:val="005E32B5"/>
    <w:rsid w:val="005F10C7"/>
    <w:rsid w:val="005F4F9D"/>
    <w:rsid w:val="005F5E38"/>
    <w:rsid w:val="00600894"/>
    <w:rsid w:val="00600C7B"/>
    <w:rsid w:val="006110FF"/>
    <w:rsid w:val="00621059"/>
    <w:rsid w:val="0062557D"/>
    <w:rsid w:val="00626DE4"/>
    <w:rsid w:val="00636A69"/>
    <w:rsid w:val="00642BE7"/>
    <w:rsid w:val="006440FD"/>
    <w:rsid w:val="00653B88"/>
    <w:rsid w:val="006554C5"/>
    <w:rsid w:val="006733F4"/>
    <w:rsid w:val="00685B70"/>
    <w:rsid w:val="00694632"/>
    <w:rsid w:val="0069725F"/>
    <w:rsid w:val="006A3839"/>
    <w:rsid w:val="006B16A7"/>
    <w:rsid w:val="006B6ACF"/>
    <w:rsid w:val="006E008E"/>
    <w:rsid w:val="006E0761"/>
    <w:rsid w:val="006E24F4"/>
    <w:rsid w:val="006E2F0E"/>
    <w:rsid w:val="006F2760"/>
    <w:rsid w:val="006F582A"/>
    <w:rsid w:val="006F6037"/>
    <w:rsid w:val="00707AF4"/>
    <w:rsid w:val="00710123"/>
    <w:rsid w:val="007119F8"/>
    <w:rsid w:val="00714FCD"/>
    <w:rsid w:val="00720781"/>
    <w:rsid w:val="007302FB"/>
    <w:rsid w:val="00734C49"/>
    <w:rsid w:val="00744894"/>
    <w:rsid w:val="00750338"/>
    <w:rsid w:val="00750476"/>
    <w:rsid w:val="007520B7"/>
    <w:rsid w:val="00753A47"/>
    <w:rsid w:val="007619E7"/>
    <w:rsid w:val="007624CD"/>
    <w:rsid w:val="007648A3"/>
    <w:rsid w:val="00764F41"/>
    <w:rsid w:val="00765CED"/>
    <w:rsid w:val="007714D0"/>
    <w:rsid w:val="00777143"/>
    <w:rsid w:val="00780394"/>
    <w:rsid w:val="00781ECD"/>
    <w:rsid w:val="007831F2"/>
    <w:rsid w:val="00785197"/>
    <w:rsid w:val="007A3F58"/>
    <w:rsid w:val="007A421A"/>
    <w:rsid w:val="007B121C"/>
    <w:rsid w:val="007B2E22"/>
    <w:rsid w:val="007B6636"/>
    <w:rsid w:val="007B6A10"/>
    <w:rsid w:val="007C24AA"/>
    <w:rsid w:val="007C3280"/>
    <w:rsid w:val="007D0043"/>
    <w:rsid w:val="007D50CD"/>
    <w:rsid w:val="007E2997"/>
    <w:rsid w:val="007E3CE1"/>
    <w:rsid w:val="007F051D"/>
    <w:rsid w:val="007F568A"/>
    <w:rsid w:val="008011D1"/>
    <w:rsid w:val="00811687"/>
    <w:rsid w:val="008238A6"/>
    <w:rsid w:val="00823EA8"/>
    <w:rsid w:val="0082585E"/>
    <w:rsid w:val="00832CD4"/>
    <w:rsid w:val="00835F05"/>
    <w:rsid w:val="008548AA"/>
    <w:rsid w:val="0086491C"/>
    <w:rsid w:val="00870B4A"/>
    <w:rsid w:val="008763CA"/>
    <w:rsid w:val="0089196B"/>
    <w:rsid w:val="008964DF"/>
    <w:rsid w:val="008B1D0F"/>
    <w:rsid w:val="008C209D"/>
    <w:rsid w:val="008C2804"/>
    <w:rsid w:val="008C5B8C"/>
    <w:rsid w:val="008C5E10"/>
    <w:rsid w:val="008C60C8"/>
    <w:rsid w:val="008C6AD9"/>
    <w:rsid w:val="008D2DDC"/>
    <w:rsid w:val="008D37F7"/>
    <w:rsid w:val="008E2515"/>
    <w:rsid w:val="008F15FB"/>
    <w:rsid w:val="009028F2"/>
    <w:rsid w:val="009071EF"/>
    <w:rsid w:val="00910AE2"/>
    <w:rsid w:val="00915433"/>
    <w:rsid w:val="00915663"/>
    <w:rsid w:val="00920416"/>
    <w:rsid w:val="009221EE"/>
    <w:rsid w:val="00922313"/>
    <w:rsid w:val="009237E3"/>
    <w:rsid w:val="00934FB6"/>
    <w:rsid w:val="00945905"/>
    <w:rsid w:val="00974138"/>
    <w:rsid w:val="00976589"/>
    <w:rsid w:val="0099040D"/>
    <w:rsid w:val="00991BF3"/>
    <w:rsid w:val="00995E7B"/>
    <w:rsid w:val="009A59A0"/>
    <w:rsid w:val="009A7BE3"/>
    <w:rsid w:val="009B1F83"/>
    <w:rsid w:val="009B7CBA"/>
    <w:rsid w:val="009D442B"/>
    <w:rsid w:val="009D4596"/>
    <w:rsid w:val="009E3686"/>
    <w:rsid w:val="009E5472"/>
    <w:rsid w:val="009E6E78"/>
    <w:rsid w:val="009F3E6F"/>
    <w:rsid w:val="00A066E2"/>
    <w:rsid w:val="00A073C2"/>
    <w:rsid w:val="00A07772"/>
    <w:rsid w:val="00A11E0C"/>
    <w:rsid w:val="00A15594"/>
    <w:rsid w:val="00A15B55"/>
    <w:rsid w:val="00A221F3"/>
    <w:rsid w:val="00A24433"/>
    <w:rsid w:val="00A32960"/>
    <w:rsid w:val="00A32DEC"/>
    <w:rsid w:val="00A4295E"/>
    <w:rsid w:val="00A46F4A"/>
    <w:rsid w:val="00A54A73"/>
    <w:rsid w:val="00A70783"/>
    <w:rsid w:val="00A722D5"/>
    <w:rsid w:val="00A80386"/>
    <w:rsid w:val="00A840E7"/>
    <w:rsid w:val="00A86613"/>
    <w:rsid w:val="00A8680A"/>
    <w:rsid w:val="00A86C59"/>
    <w:rsid w:val="00A9386F"/>
    <w:rsid w:val="00A952AA"/>
    <w:rsid w:val="00A971E8"/>
    <w:rsid w:val="00A97E99"/>
    <w:rsid w:val="00AB4702"/>
    <w:rsid w:val="00AB6D9A"/>
    <w:rsid w:val="00AB76BE"/>
    <w:rsid w:val="00AC4FDA"/>
    <w:rsid w:val="00AD25D4"/>
    <w:rsid w:val="00AD444D"/>
    <w:rsid w:val="00AD68A2"/>
    <w:rsid w:val="00AE71F3"/>
    <w:rsid w:val="00AF0ED4"/>
    <w:rsid w:val="00AF237D"/>
    <w:rsid w:val="00AF57A5"/>
    <w:rsid w:val="00AF5969"/>
    <w:rsid w:val="00B013A5"/>
    <w:rsid w:val="00B041D2"/>
    <w:rsid w:val="00B100D3"/>
    <w:rsid w:val="00B10852"/>
    <w:rsid w:val="00B13B0B"/>
    <w:rsid w:val="00B20EED"/>
    <w:rsid w:val="00B264B9"/>
    <w:rsid w:val="00B36F56"/>
    <w:rsid w:val="00B42E28"/>
    <w:rsid w:val="00B43688"/>
    <w:rsid w:val="00B44136"/>
    <w:rsid w:val="00B534DB"/>
    <w:rsid w:val="00B6539F"/>
    <w:rsid w:val="00B6582D"/>
    <w:rsid w:val="00B806F3"/>
    <w:rsid w:val="00B8235E"/>
    <w:rsid w:val="00B841DB"/>
    <w:rsid w:val="00BA1128"/>
    <w:rsid w:val="00BA6B78"/>
    <w:rsid w:val="00BB1BA5"/>
    <w:rsid w:val="00BD06A2"/>
    <w:rsid w:val="00BD2695"/>
    <w:rsid w:val="00BD7686"/>
    <w:rsid w:val="00BE1603"/>
    <w:rsid w:val="00BE1B86"/>
    <w:rsid w:val="00BE2260"/>
    <w:rsid w:val="00BE3B79"/>
    <w:rsid w:val="00BE7EFA"/>
    <w:rsid w:val="00BF0B9A"/>
    <w:rsid w:val="00C04E28"/>
    <w:rsid w:val="00C0539C"/>
    <w:rsid w:val="00C05F43"/>
    <w:rsid w:val="00C161AD"/>
    <w:rsid w:val="00C2025B"/>
    <w:rsid w:val="00C21923"/>
    <w:rsid w:val="00C22BEA"/>
    <w:rsid w:val="00C2306E"/>
    <w:rsid w:val="00C236EB"/>
    <w:rsid w:val="00C30621"/>
    <w:rsid w:val="00C33F35"/>
    <w:rsid w:val="00C619D6"/>
    <w:rsid w:val="00C77C8E"/>
    <w:rsid w:val="00C82698"/>
    <w:rsid w:val="00C849B2"/>
    <w:rsid w:val="00C86BF0"/>
    <w:rsid w:val="00C943A4"/>
    <w:rsid w:val="00C95DD9"/>
    <w:rsid w:val="00CA2A5D"/>
    <w:rsid w:val="00CB1418"/>
    <w:rsid w:val="00CB566E"/>
    <w:rsid w:val="00CE24A9"/>
    <w:rsid w:val="00D04FA7"/>
    <w:rsid w:val="00D053BD"/>
    <w:rsid w:val="00D0591D"/>
    <w:rsid w:val="00D10E8F"/>
    <w:rsid w:val="00D12B26"/>
    <w:rsid w:val="00D1658E"/>
    <w:rsid w:val="00D24825"/>
    <w:rsid w:val="00D26CEC"/>
    <w:rsid w:val="00D30DB8"/>
    <w:rsid w:val="00D35136"/>
    <w:rsid w:val="00D353B2"/>
    <w:rsid w:val="00D368BD"/>
    <w:rsid w:val="00D437A6"/>
    <w:rsid w:val="00D4462D"/>
    <w:rsid w:val="00D47EB4"/>
    <w:rsid w:val="00D626B1"/>
    <w:rsid w:val="00D62B9A"/>
    <w:rsid w:val="00D65A55"/>
    <w:rsid w:val="00D67CF5"/>
    <w:rsid w:val="00D802C3"/>
    <w:rsid w:val="00D86F13"/>
    <w:rsid w:val="00D87433"/>
    <w:rsid w:val="00D92042"/>
    <w:rsid w:val="00D93028"/>
    <w:rsid w:val="00D93B6B"/>
    <w:rsid w:val="00DA1E64"/>
    <w:rsid w:val="00DB0F44"/>
    <w:rsid w:val="00DC5EB3"/>
    <w:rsid w:val="00DC7D04"/>
    <w:rsid w:val="00DE3C7E"/>
    <w:rsid w:val="00DF71FA"/>
    <w:rsid w:val="00E06D0C"/>
    <w:rsid w:val="00E10351"/>
    <w:rsid w:val="00E1203D"/>
    <w:rsid w:val="00E1345C"/>
    <w:rsid w:val="00E16549"/>
    <w:rsid w:val="00E170A9"/>
    <w:rsid w:val="00E2279D"/>
    <w:rsid w:val="00E24B9A"/>
    <w:rsid w:val="00E31C52"/>
    <w:rsid w:val="00E33B6D"/>
    <w:rsid w:val="00E4116A"/>
    <w:rsid w:val="00E45507"/>
    <w:rsid w:val="00E45727"/>
    <w:rsid w:val="00E54745"/>
    <w:rsid w:val="00E566D1"/>
    <w:rsid w:val="00E64998"/>
    <w:rsid w:val="00E82DC9"/>
    <w:rsid w:val="00E83986"/>
    <w:rsid w:val="00E86142"/>
    <w:rsid w:val="00E901D9"/>
    <w:rsid w:val="00E95048"/>
    <w:rsid w:val="00E9695F"/>
    <w:rsid w:val="00EA1038"/>
    <w:rsid w:val="00EB1B51"/>
    <w:rsid w:val="00EB3D54"/>
    <w:rsid w:val="00EC1280"/>
    <w:rsid w:val="00EC317F"/>
    <w:rsid w:val="00EC5D14"/>
    <w:rsid w:val="00EC6A4F"/>
    <w:rsid w:val="00EF1BCF"/>
    <w:rsid w:val="00EF48C0"/>
    <w:rsid w:val="00F0029D"/>
    <w:rsid w:val="00F16A71"/>
    <w:rsid w:val="00F203D6"/>
    <w:rsid w:val="00F236D0"/>
    <w:rsid w:val="00F23E2A"/>
    <w:rsid w:val="00F24F57"/>
    <w:rsid w:val="00F31078"/>
    <w:rsid w:val="00F45457"/>
    <w:rsid w:val="00F555F4"/>
    <w:rsid w:val="00F60AFA"/>
    <w:rsid w:val="00F626E0"/>
    <w:rsid w:val="00F63F03"/>
    <w:rsid w:val="00F65915"/>
    <w:rsid w:val="00F75924"/>
    <w:rsid w:val="00F76717"/>
    <w:rsid w:val="00F91932"/>
    <w:rsid w:val="00F919F6"/>
    <w:rsid w:val="00FA787D"/>
    <w:rsid w:val="00FA7B37"/>
    <w:rsid w:val="00FB0E29"/>
    <w:rsid w:val="00FB1ED3"/>
    <w:rsid w:val="00FB351E"/>
    <w:rsid w:val="00FB5D98"/>
    <w:rsid w:val="00FC47EA"/>
    <w:rsid w:val="00FC6256"/>
    <w:rsid w:val="00FD3740"/>
    <w:rsid w:val="00FE534C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68DC7"/>
  <w15:docId w15:val="{A6D051F3-1246-43BB-B6EE-BC9321EF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CB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46683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466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71A"/>
    <w:pPr>
      <w:keepNext/>
      <w:jc w:val="both"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6E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2471A"/>
    <w:rPr>
      <w:rFonts w:ascii="Arial" w:hAnsi="Arial" w:cs="Times New Roman"/>
      <w:b/>
      <w:sz w:val="20"/>
      <w:szCs w:val="20"/>
      <w:u w:val="single"/>
    </w:rPr>
  </w:style>
  <w:style w:type="character" w:styleId="Hyperlink">
    <w:name w:val="Hyperlink"/>
    <w:uiPriority w:val="99"/>
    <w:rsid w:val="00024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24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2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0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3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236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36E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6431"/>
    <w:rPr>
      <w:rFonts w:ascii="Arial" w:eastAsia="Times New Roman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36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6431"/>
    <w:rPr>
      <w:rFonts w:ascii="Arial" w:eastAsia="Times New Roman" w:hAnsi="Arial"/>
      <w:b/>
      <w:bCs/>
      <w:sz w:val="20"/>
      <w:szCs w:val="20"/>
      <w:lang w:eastAsia="en-US"/>
    </w:rPr>
  </w:style>
  <w:style w:type="paragraph" w:customStyle="1" w:styleId="Default">
    <w:name w:val="Default"/>
    <w:rsid w:val="005648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1658E"/>
  </w:style>
  <w:style w:type="paragraph" w:styleId="Header">
    <w:name w:val="header"/>
    <w:basedOn w:val="Normal"/>
    <w:link w:val="HeaderChar"/>
    <w:uiPriority w:val="99"/>
    <w:unhideWhenUsed/>
    <w:rsid w:val="00527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735F"/>
    <w:rPr>
      <w:rFonts w:ascii="Arial" w:eastAsia="Times New Roman" w:hAnsi="Arial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7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35F"/>
    <w:rPr>
      <w:rFonts w:ascii="Arial" w:eastAsia="Times New Roman" w:hAnsi="Arial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437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CA"/>
    </w:rPr>
  </w:style>
  <w:style w:type="character" w:styleId="Strong">
    <w:name w:val="Strong"/>
    <w:uiPriority w:val="22"/>
    <w:qFormat/>
    <w:locked/>
    <w:rsid w:val="00D437A6"/>
    <w:rPr>
      <w:b/>
      <w:bCs/>
    </w:rPr>
  </w:style>
  <w:style w:type="paragraph" w:styleId="Revision">
    <w:name w:val="Revision"/>
    <w:hidden/>
    <w:uiPriority w:val="99"/>
    <w:semiHidden/>
    <w:rsid w:val="00165841"/>
    <w:rPr>
      <w:rFonts w:ascii="Arial" w:eastAsia="Times New Roman" w:hAnsi="Arial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246683"/>
    <w:rPr>
      <w:rFonts w:ascii="Arial" w:eastAsiaTheme="majorEastAsia" w:hAnsi="Arial" w:cstheme="majorBidi"/>
      <w:color w:val="365F91" w:themeColor="accent1" w:themeShade="BF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24668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246683"/>
    <w:rPr>
      <w:rFonts w:ascii="Arial" w:eastAsiaTheme="minorEastAsia" w:hAnsi="Arial" w:cstheme="minorBidi"/>
      <w:color w:val="5A5A5A" w:themeColor="text1" w:themeTint="A5"/>
      <w:spacing w:val="15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246683"/>
    <w:rPr>
      <w:rFonts w:ascii="Arial" w:eastAsiaTheme="majorEastAsia" w:hAnsi="Arial" w:cstheme="majorBidi"/>
      <w:color w:val="365F91" w:themeColor="accent1" w:themeShade="BF"/>
      <w:sz w:val="28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170A9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E170A9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E170A9"/>
    <w:pPr>
      <w:spacing w:after="100"/>
      <w:ind w:left="220"/>
    </w:pPr>
  </w:style>
  <w:style w:type="paragraph" w:styleId="Caption">
    <w:name w:val="caption"/>
    <w:basedOn w:val="Normal"/>
    <w:next w:val="Normal"/>
    <w:unhideWhenUsed/>
    <w:qFormat/>
    <w:locked/>
    <w:rsid w:val="00E9504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196E8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paragraph" w:customStyle="1" w:styleId="Heading30">
    <w:name w:val="Heading 3.0"/>
    <w:basedOn w:val="Heading3"/>
    <w:qFormat/>
    <w:rsid w:val="00196E85"/>
  </w:style>
  <w:style w:type="paragraph" w:styleId="TOC3">
    <w:name w:val="toc 3"/>
    <w:basedOn w:val="Normal"/>
    <w:next w:val="Normal"/>
    <w:autoRedefine/>
    <w:uiPriority w:val="39"/>
    <w:locked/>
    <w:rsid w:val="00DB0F44"/>
    <w:pPr>
      <w:spacing w:after="100"/>
      <w:ind w:left="440"/>
    </w:pPr>
  </w:style>
  <w:style w:type="paragraph" w:styleId="NormalIndent">
    <w:name w:val="Normal Indent"/>
    <w:basedOn w:val="Normal"/>
    <w:uiPriority w:val="99"/>
    <w:unhideWhenUsed/>
    <w:rsid w:val="001079CB"/>
    <w:pPr>
      <w:ind w:left="720"/>
    </w:pPr>
  </w:style>
  <w:style w:type="paragraph" w:customStyle="1" w:styleId="xmsonormal">
    <w:name w:val="x_msonormal"/>
    <w:basedOn w:val="Normal"/>
    <w:rsid w:val="000C1869"/>
    <w:rPr>
      <w:rFonts w:ascii="Calibri" w:eastAsiaTheme="minorHAnsi" w:hAnsi="Calibri" w:cs="Calibri"/>
      <w:szCs w:val="22"/>
      <w:lang w:val="en-US"/>
    </w:rPr>
  </w:style>
  <w:style w:type="paragraph" w:customStyle="1" w:styleId="xheading30">
    <w:name w:val="x_heading30"/>
    <w:basedOn w:val="Normal"/>
    <w:rsid w:val="000C1869"/>
    <w:pPr>
      <w:keepNext/>
      <w:jc w:val="both"/>
    </w:pPr>
    <w:rPr>
      <w:rFonts w:eastAsiaTheme="minorHAnsi" w:cs="Arial"/>
      <w:b/>
      <w:bCs/>
      <w:sz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21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2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23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96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627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@trentu.ca?subject=AODA%202017%20Annual%20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ess@trentu.ca?subject=AODA%202017%20Annual%20Repor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C7E8-BD28-488A-BFB0-D528FE41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AODA Update 2019</vt:lpstr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AODA Update 2019</dc:title>
  <dc:subject/>
  <dc:creator>jeff</dc:creator>
  <cp:keywords/>
  <dc:description/>
  <cp:lastModifiedBy>Karen Spearing</cp:lastModifiedBy>
  <cp:revision>2</cp:revision>
  <cp:lastPrinted>2019-01-21T19:51:00Z</cp:lastPrinted>
  <dcterms:created xsi:type="dcterms:W3CDTF">2021-02-17T14:56:00Z</dcterms:created>
  <dcterms:modified xsi:type="dcterms:W3CDTF">2021-02-17T14:56:00Z</dcterms:modified>
</cp:coreProperties>
</file>