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5A562" w14:textId="77777777" w:rsidR="00705223" w:rsidRPr="00FC47EA" w:rsidRDefault="00705223" w:rsidP="00A5367E">
      <w:pPr>
        <w:pStyle w:val="Heading1"/>
      </w:pPr>
      <w:r w:rsidRPr="00FC47EA">
        <w:t>AODA – Multi Year Accessibility Plan 201</w:t>
      </w:r>
      <w:r>
        <w:t>3</w:t>
      </w:r>
      <w:r w:rsidRPr="00FC47EA">
        <w:t>-201</w:t>
      </w:r>
      <w:r>
        <w:t>4</w:t>
      </w:r>
      <w:r w:rsidRPr="00FC47EA">
        <w:t xml:space="preserve"> Update</w:t>
      </w:r>
    </w:p>
    <w:p w14:paraId="33416220" w14:textId="017637A5" w:rsidR="009E5B05" w:rsidRPr="009E5B05" w:rsidRDefault="00A54A73" w:rsidP="00A5367E">
      <w:pPr>
        <w:spacing w:before="100" w:beforeAutospacing="1"/>
        <w:rPr>
          <w:rFonts w:ascii="Segoe UI" w:hAnsi="Segoe UI" w:cs="Segoe UI"/>
          <w:color w:val="000000"/>
          <w:sz w:val="20"/>
        </w:rPr>
      </w:pPr>
      <w:r w:rsidRPr="00845F27">
        <w:t>The Accessibility for Ontarians with Disabilities Act (AODA) came into effect in Ontario in 2005. The AODA applies to both the public and private sectors and its goal is to ensure that all Ontarians with disabilities have full access to goods, services, facilities, accommodation, employment, building structures and premises by January 1, 2025. This goal is being achieved through the development, implementation and enforcement of provincially-set accessibility standards.</w:t>
      </w:r>
      <w:r w:rsidRPr="00FC47EA">
        <w:rPr>
          <w:rFonts w:ascii="Segoe UI" w:hAnsi="Segoe UI" w:cs="Segoe UI"/>
        </w:rPr>
        <w:t xml:space="preserve"> </w:t>
      </w:r>
    </w:p>
    <w:p w14:paraId="3CDB09B2" w14:textId="1C784CD8" w:rsidR="00E16549" w:rsidRPr="00711409" w:rsidRDefault="00E16549" w:rsidP="00A5367E">
      <w:r w:rsidRPr="00E16549">
        <w:t xml:space="preserve">Trent University is committed to a learning and working environment which provides </w:t>
      </w:r>
      <w:r w:rsidR="00067216">
        <w:t xml:space="preserve">opportunities for </w:t>
      </w:r>
      <w:r w:rsidRPr="00E16549">
        <w:t xml:space="preserve">development </w:t>
      </w:r>
      <w:r w:rsidR="00067216">
        <w:t xml:space="preserve">and growth for </w:t>
      </w:r>
      <w:r w:rsidRPr="00E16549">
        <w:t>its community members.  In keeping with th</w:t>
      </w:r>
      <w:r w:rsidR="00067216">
        <w:t>is mission, Trent embraces the “E</w:t>
      </w:r>
      <w:r w:rsidRPr="00E16549">
        <w:t>nviro</w:t>
      </w:r>
      <w:r w:rsidR="00067216">
        <w:t>nmental Model of D</w:t>
      </w:r>
      <w:r w:rsidRPr="00E16549">
        <w:t>isability</w:t>
      </w:r>
      <w:r w:rsidR="00067216">
        <w:t>”</w:t>
      </w:r>
      <w:r w:rsidRPr="00E16549">
        <w:t xml:space="preserve"> as operationalized in the World Health Organization’s definition of disability. In this model, disability is viewed as a consequence of barriers created by design flaws in the built and human environment</w:t>
      </w:r>
      <w:r w:rsidR="00FC47EA">
        <w:t>s</w:t>
      </w:r>
      <w:r w:rsidRPr="00E16549">
        <w:t>. It is these design flaw</w:t>
      </w:r>
      <w:r w:rsidR="00067216">
        <w:t xml:space="preserve">s </w:t>
      </w:r>
      <w:r w:rsidRPr="00E16549">
        <w:t xml:space="preserve">which prevent people with disabilities from full participation in a community.  Trent University is committed to breaking down the barriers which prevent the full inclusion of all of its community members in its living and learning environment. </w:t>
      </w:r>
    </w:p>
    <w:p w14:paraId="3A0FD4F2" w14:textId="77777777" w:rsidR="00E16549" w:rsidRPr="00E16549" w:rsidRDefault="00E16549" w:rsidP="00A5367E">
      <w:pPr>
        <w:pStyle w:val="Heading2"/>
      </w:pPr>
      <w:r w:rsidRPr="00E16549">
        <w:t xml:space="preserve">Trent University </w:t>
      </w:r>
    </w:p>
    <w:p w14:paraId="316A8C4E" w14:textId="77777777" w:rsidR="009E5B05" w:rsidRDefault="00E16549" w:rsidP="009E5B05">
      <w:r w:rsidRPr="00E16549">
        <w:t xml:space="preserve">One of Canada’s top universities, Trent University is renowned for striking a unique balance between outstanding teaching and leading-edge research. The </w:t>
      </w:r>
      <w:r w:rsidR="00300146">
        <w:t>u</w:t>
      </w:r>
      <w:r w:rsidRPr="00E16549">
        <w:t xml:space="preserve">niversity is consistently recognized </w:t>
      </w:r>
      <w:r w:rsidR="00A9386F">
        <w:t>(</w:t>
      </w:r>
      <w:r w:rsidRPr="00E16549">
        <w:t>nationally</w:t>
      </w:r>
      <w:r w:rsidR="00A9386F">
        <w:t>)</w:t>
      </w:r>
      <w:r w:rsidRPr="00E16549">
        <w:t xml:space="preserve"> for faculty who maintain a high level of innovative research activity and a deep commitment to the individual student. Distinguished by excellence in the humanities, social sciences</w:t>
      </w:r>
      <w:r w:rsidR="00300146">
        <w:t>,</w:t>
      </w:r>
      <w:r w:rsidRPr="00E16549">
        <w:t xml:space="preserve"> natural sciences and increasingly popular professional and graduate programs</w:t>
      </w:r>
      <w:r w:rsidR="00A9386F">
        <w:t>,</w:t>
      </w:r>
      <w:r w:rsidRPr="00E16549">
        <w:t xml:space="preserve"> Trent is dedicated to providing its</w:t>
      </w:r>
      <w:r w:rsidR="00A9386F">
        <w:t xml:space="preserve"> students</w:t>
      </w:r>
      <w:r w:rsidRPr="00E16549">
        <w:t xml:space="preserve"> with an exceptional world view, producing graduates who are ready to succeed</w:t>
      </w:r>
      <w:r w:rsidR="00D368BD">
        <w:t xml:space="preserve"> </w:t>
      </w:r>
      <w:r w:rsidRPr="00E16549">
        <w:t xml:space="preserve">and make a difference in the world.  Trent’s Peterborough campus boasts award-winning architecture in a breathtaking natural setting on the banks of the </w:t>
      </w:r>
      <w:proofErr w:type="spellStart"/>
      <w:r w:rsidRPr="00E16549">
        <w:t>Otonabee</w:t>
      </w:r>
      <w:proofErr w:type="spellEnd"/>
      <w:r w:rsidRPr="00E16549">
        <w:t xml:space="preserve"> River. Together with its satellite campus in </w:t>
      </w:r>
      <w:r w:rsidR="00870B4A">
        <w:t>Durham</w:t>
      </w:r>
      <w:r w:rsidR="00A9386F">
        <w:t>,</w:t>
      </w:r>
      <w:r w:rsidRPr="00E16549">
        <w:t xml:space="preserve"> Trent draws excellent students from throughout </w:t>
      </w:r>
      <w:r w:rsidR="00A9386F">
        <w:t>Canada</w:t>
      </w:r>
      <w:r w:rsidR="00FC47EA">
        <w:t xml:space="preserve"> </w:t>
      </w:r>
      <w:r w:rsidRPr="00E16549">
        <w:t xml:space="preserve">the world.  </w:t>
      </w:r>
    </w:p>
    <w:p w14:paraId="473719F9" w14:textId="77777777" w:rsidR="009E5B05" w:rsidRDefault="00934FB6" w:rsidP="009E5B05">
      <w:pPr>
        <w:spacing w:before="480"/>
      </w:pPr>
      <w:r w:rsidRPr="00FC47EA">
        <w:rPr>
          <w:color w:val="000000"/>
        </w:rPr>
        <w:t xml:space="preserve">The </w:t>
      </w:r>
      <w:r w:rsidR="00A70783">
        <w:rPr>
          <w:color w:val="000000"/>
        </w:rPr>
        <w:t>Office of</w:t>
      </w:r>
      <w:r w:rsidRPr="00FC47EA">
        <w:rPr>
          <w:color w:val="000000"/>
        </w:rPr>
        <w:t xml:space="preserve"> Human Rights, Equity and Accessibility reported on December 22</w:t>
      </w:r>
      <w:r w:rsidRPr="00FC47EA">
        <w:rPr>
          <w:color w:val="000000"/>
          <w:vertAlign w:val="superscript"/>
        </w:rPr>
        <w:t>nd</w:t>
      </w:r>
      <w:r w:rsidRPr="00FC47EA">
        <w:rPr>
          <w:color w:val="000000"/>
        </w:rPr>
        <w:t xml:space="preserve">, 2013 to the Accessibility Directorate of Ontario </w:t>
      </w:r>
      <w:r w:rsidR="0052735F" w:rsidRPr="00FC47EA">
        <w:rPr>
          <w:color w:val="000000"/>
        </w:rPr>
        <w:t>(ADO) t</w:t>
      </w:r>
      <w:r w:rsidRPr="00FC47EA">
        <w:rPr>
          <w:color w:val="000000"/>
        </w:rPr>
        <w:t xml:space="preserve">hat Trent University was in compliance as of January 1, 2014.  </w:t>
      </w:r>
      <w:r w:rsidR="00D368BD">
        <w:rPr>
          <w:color w:val="000000"/>
        </w:rPr>
        <w:t xml:space="preserve">The Centre for Human Rights, Equity and Accessibility (CHREA), as it is now referred to, is required to file its next compliance report with </w:t>
      </w:r>
      <w:r w:rsidR="00BD7686">
        <w:rPr>
          <w:color w:val="000000"/>
        </w:rPr>
        <w:t>t</w:t>
      </w:r>
      <w:r w:rsidR="00D368BD">
        <w:rPr>
          <w:color w:val="000000"/>
        </w:rPr>
        <w:t xml:space="preserve">he ADO in December 2015. </w:t>
      </w:r>
    </w:p>
    <w:p w14:paraId="5D744D77" w14:textId="77777777" w:rsidR="009E5B05" w:rsidRDefault="00A54A73" w:rsidP="009E5B05">
      <w:pPr>
        <w:spacing w:before="480"/>
      </w:pPr>
      <w:r w:rsidRPr="00FC47EA">
        <w:rPr>
          <w:color w:val="000000"/>
        </w:rPr>
        <w:t>A number of provisions under the Integrated</w:t>
      </w:r>
      <w:r w:rsidR="00A70783">
        <w:rPr>
          <w:color w:val="000000"/>
        </w:rPr>
        <w:t xml:space="preserve"> Accessibility</w:t>
      </w:r>
      <w:r w:rsidRPr="00FC47EA">
        <w:rPr>
          <w:color w:val="000000"/>
        </w:rPr>
        <w:t xml:space="preserve"> Standards </w:t>
      </w:r>
      <w:r w:rsidR="00A70783">
        <w:rPr>
          <w:color w:val="000000"/>
        </w:rPr>
        <w:t xml:space="preserve">Regulation (IASR) </w:t>
      </w:r>
      <w:r w:rsidRPr="00FC47EA">
        <w:rPr>
          <w:color w:val="000000"/>
        </w:rPr>
        <w:t>came into effect on January 1, 201</w:t>
      </w:r>
      <w:r w:rsidR="00BD7686">
        <w:rPr>
          <w:color w:val="000000"/>
        </w:rPr>
        <w:t>4</w:t>
      </w:r>
      <w:r w:rsidRPr="00FC47EA">
        <w:rPr>
          <w:color w:val="000000"/>
        </w:rPr>
        <w:t xml:space="preserve">, and </w:t>
      </w:r>
      <w:r w:rsidR="00A70783">
        <w:rPr>
          <w:color w:val="000000"/>
        </w:rPr>
        <w:t>C</w:t>
      </w:r>
      <w:r w:rsidR="00A70783" w:rsidRPr="00FC47EA">
        <w:rPr>
          <w:color w:val="000000"/>
        </w:rPr>
        <w:t xml:space="preserve">HREA </w:t>
      </w:r>
      <w:r w:rsidRPr="00FC47EA">
        <w:rPr>
          <w:color w:val="000000"/>
        </w:rPr>
        <w:t>staff</w:t>
      </w:r>
      <w:r w:rsidR="002A0167">
        <w:rPr>
          <w:color w:val="000000"/>
        </w:rPr>
        <w:t xml:space="preserve"> </w:t>
      </w:r>
      <w:r w:rsidRPr="00FC47EA">
        <w:rPr>
          <w:color w:val="000000"/>
        </w:rPr>
        <w:t>worked with the Accessibility Subcommittee</w:t>
      </w:r>
      <w:r w:rsidR="0052735F" w:rsidRPr="00FC47EA">
        <w:rPr>
          <w:color w:val="000000"/>
        </w:rPr>
        <w:t xml:space="preserve"> and key stakeholders </w:t>
      </w:r>
      <w:r w:rsidRPr="00FC47EA">
        <w:rPr>
          <w:color w:val="000000"/>
        </w:rPr>
        <w:t>throughout 201</w:t>
      </w:r>
      <w:r w:rsidR="00BD7686">
        <w:rPr>
          <w:color w:val="000000"/>
        </w:rPr>
        <w:t>3</w:t>
      </w:r>
      <w:r w:rsidRPr="00FC47EA">
        <w:rPr>
          <w:color w:val="000000"/>
        </w:rPr>
        <w:t>-</w:t>
      </w:r>
      <w:r w:rsidR="00BD7686" w:rsidRPr="00FC47EA">
        <w:rPr>
          <w:color w:val="000000"/>
        </w:rPr>
        <w:t>1</w:t>
      </w:r>
      <w:r w:rsidR="00BD7686">
        <w:rPr>
          <w:color w:val="000000"/>
        </w:rPr>
        <w:t>4</w:t>
      </w:r>
      <w:r w:rsidR="00BD7686" w:rsidRPr="00FC47EA">
        <w:rPr>
          <w:color w:val="000000"/>
        </w:rPr>
        <w:t xml:space="preserve"> </w:t>
      </w:r>
      <w:r w:rsidRPr="00FC47EA">
        <w:rPr>
          <w:color w:val="000000"/>
        </w:rPr>
        <w:t xml:space="preserve">to meet </w:t>
      </w:r>
      <w:r w:rsidR="0052735F" w:rsidRPr="00FC47EA">
        <w:rPr>
          <w:color w:val="000000"/>
        </w:rPr>
        <w:t xml:space="preserve">and when possible exceed </w:t>
      </w:r>
      <w:r w:rsidRPr="00FC47EA">
        <w:rPr>
          <w:color w:val="000000"/>
        </w:rPr>
        <w:t>the requirements</w:t>
      </w:r>
      <w:r w:rsidR="0013495D" w:rsidRPr="00FC47EA">
        <w:rPr>
          <w:color w:val="000000"/>
        </w:rPr>
        <w:t xml:space="preserve">.  </w:t>
      </w:r>
    </w:p>
    <w:p w14:paraId="3BCD6994" w14:textId="77777777" w:rsidR="00705223" w:rsidRDefault="0013495D" w:rsidP="00705223">
      <w:pPr>
        <w:spacing w:before="480"/>
        <w:rPr>
          <w:color w:val="000000"/>
        </w:rPr>
      </w:pPr>
      <w:r w:rsidRPr="00FC47EA">
        <w:rPr>
          <w:color w:val="000000"/>
        </w:rPr>
        <w:t>Th</w:t>
      </w:r>
      <w:r w:rsidR="005D1A93">
        <w:rPr>
          <w:color w:val="000000"/>
        </w:rPr>
        <w:t>is</w:t>
      </w:r>
      <w:r w:rsidRPr="00FC47EA">
        <w:rPr>
          <w:color w:val="000000"/>
        </w:rPr>
        <w:t xml:space="preserve"> report serves as the annual update to our Multi-year Acce</w:t>
      </w:r>
      <w:r w:rsidR="0052735F" w:rsidRPr="00FC47EA">
        <w:rPr>
          <w:color w:val="000000"/>
        </w:rPr>
        <w:t>ssibility Plan and is formatted</w:t>
      </w:r>
      <w:r w:rsidRPr="00FC47EA">
        <w:rPr>
          <w:color w:val="000000"/>
        </w:rPr>
        <w:t xml:space="preserve"> using the same headings </w:t>
      </w:r>
      <w:r w:rsidR="0052735F" w:rsidRPr="00FC47EA">
        <w:rPr>
          <w:color w:val="000000"/>
        </w:rPr>
        <w:t xml:space="preserve">as the </w:t>
      </w:r>
      <w:r w:rsidR="00A9386F">
        <w:rPr>
          <w:color w:val="000000"/>
        </w:rPr>
        <w:t xml:space="preserve">Accessibility </w:t>
      </w:r>
      <w:r w:rsidR="0052735F" w:rsidRPr="00FC47EA">
        <w:rPr>
          <w:color w:val="000000"/>
        </w:rPr>
        <w:t xml:space="preserve">Plan </w:t>
      </w:r>
      <w:r w:rsidRPr="00FC47EA">
        <w:rPr>
          <w:color w:val="000000"/>
        </w:rPr>
        <w:t>for ease of reference.</w:t>
      </w:r>
      <w:r w:rsidR="00BD7686">
        <w:rPr>
          <w:color w:val="000000"/>
        </w:rPr>
        <w:t xml:space="preserve"> This </w:t>
      </w:r>
      <w:r w:rsidR="00BD7686">
        <w:rPr>
          <w:color w:val="000000"/>
        </w:rPr>
        <w:lastRenderedPageBreak/>
        <w:t>report also offers a look at 2015 compliance requirements as well as accessibility-related pro</w:t>
      </w:r>
      <w:r w:rsidR="00FB1ED3">
        <w:rPr>
          <w:color w:val="000000"/>
        </w:rPr>
        <w:t>jects that go beyond legislative</w:t>
      </w:r>
      <w:r w:rsidR="00BD7686">
        <w:rPr>
          <w:color w:val="000000"/>
        </w:rPr>
        <w:t xml:space="preserve"> compliance. </w:t>
      </w:r>
    </w:p>
    <w:p w14:paraId="298358D7" w14:textId="77777777" w:rsidR="00705223" w:rsidRPr="00705223" w:rsidRDefault="00705223" w:rsidP="00A5367E">
      <w:pPr>
        <w:pStyle w:val="Heading1"/>
      </w:pPr>
      <w:r w:rsidRPr="00705223">
        <w:t>Section 1</w:t>
      </w:r>
    </w:p>
    <w:p w14:paraId="20081C3F" w14:textId="77777777" w:rsidR="00705223" w:rsidRPr="00A5367E" w:rsidRDefault="00705223" w:rsidP="00A5367E">
      <w:pPr>
        <w:pStyle w:val="Heading2"/>
      </w:pPr>
      <w:r w:rsidRPr="00A5367E">
        <w:t>Part I: General Standards</w:t>
      </w:r>
    </w:p>
    <w:p w14:paraId="29599E7E" w14:textId="72306890" w:rsidR="005E326D" w:rsidRPr="009E5B05" w:rsidRDefault="005E326D" w:rsidP="00A5367E">
      <w:pPr>
        <w:pStyle w:val="Heading3"/>
      </w:pPr>
      <w:r w:rsidRPr="009E5B05">
        <w:t>Annual Status Report</w:t>
      </w:r>
    </w:p>
    <w:p w14:paraId="65F1CE88" w14:textId="74DD5419" w:rsidR="009E5B05" w:rsidRDefault="005E326D" w:rsidP="009E5B05">
      <w:r>
        <w:t xml:space="preserve">Review of the Multi-year </w:t>
      </w:r>
      <w:r w:rsidR="00A70783">
        <w:t>A</w:t>
      </w:r>
      <w:r>
        <w:t xml:space="preserve">ccessibility </w:t>
      </w:r>
      <w:r w:rsidR="00A70783">
        <w:t>P</w:t>
      </w:r>
      <w:r>
        <w:t>lan and corresponding annual status report was completed for 2012-13 in January 2014. T</w:t>
      </w:r>
      <w:r w:rsidR="005D1A93">
        <w:t>his review was completed in our office (</w:t>
      </w:r>
      <w:r>
        <w:t>former</w:t>
      </w:r>
      <w:r w:rsidR="005D1A93">
        <w:t>ly</w:t>
      </w:r>
      <w:r>
        <w:t xml:space="preserve"> OHREA</w:t>
      </w:r>
      <w:r w:rsidR="005D1A93">
        <w:t>)</w:t>
      </w:r>
      <w:r>
        <w:t xml:space="preserve"> </w:t>
      </w:r>
      <w:r w:rsidR="005D1A93">
        <w:t xml:space="preserve">by former </w:t>
      </w:r>
      <w:r>
        <w:t xml:space="preserve">Coordinator </w:t>
      </w:r>
      <w:proofErr w:type="spellStart"/>
      <w:r w:rsidR="009E6E78">
        <w:t>Robyne</w:t>
      </w:r>
      <w:proofErr w:type="spellEnd"/>
      <w:r w:rsidR="009E6E78">
        <w:t xml:space="preserve"> Hanley. T</w:t>
      </w:r>
      <w:r>
        <w:t xml:space="preserve">he 2012-13 report highlighted Trent’s compliance with </w:t>
      </w:r>
      <w:r w:rsidR="007C24AA">
        <w:t>requirements that came into effect on January 1, 2013. As well</w:t>
      </w:r>
      <w:r w:rsidR="00791DF1">
        <w:t>,</w:t>
      </w:r>
      <w:r w:rsidR="007C24AA">
        <w:t xml:space="preserve"> ongoing accessibility-related projects, </w:t>
      </w:r>
      <w:r w:rsidR="005F5E38">
        <w:t xml:space="preserve">for example, </w:t>
      </w:r>
      <w:r w:rsidR="007C24AA">
        <w:t xml:space="preserve">those related to Customer Service </w:t>
      </w:r>
      <w:r w:rsidR="009E6E78">
        <w:t xml:space="preserve">Standard training were also highlighted in the report. </w:t>
      </w:r>
    </w:p>
    <w:p w14:paraId="1D318302" w14:textId="088D30DE" w:rsidR="0028317C" w:rsidRPr="009E5B05" w:rsidRDefault="0028317C" w:rsidP="00A5367E">
      <w:pPr>
        <w:pStyle w:val="Heading3"/>
      </w:pPr>
      <w:r w:rsidRPr="009E5B05">
        <w:t xml:space="preserve">Training </w:t>
      </w:r>
    </w:p>
    <w:p w14:paraId="0F7BA9DD" w14:textId="77777777" w:rsidR="007831F2" w:rsidRPr="00FC47EA" w:rsidRDefault="007831F2" w:rsidP="009E5B05">
      <w:r>
        <w:t>Organizations are required to train employ</w:t>
      </w:r>
      <w:r w:rsidR="009E6E78">
        <w:t>ees on the requirements in the Integrated Accessibility Standards Regulation (IASR)</w:t>
      </w:r>
      <w:r>
        <w:t xml:space="preserve"> as well as the Ontario Human Rights Code (the Code). A number of Trent’s trainings and workshop</w:t>
      </w:r>
      <w:r w:rsidR="007D0043">
        <w:t>s</w:t>
      </w:r>
      <w:r>
        <w:t xml:space="preserve"> highlight relevant portions of the AO</w:t>
      </w:r>
      <w:r w:rsidR="00545F7A">
        <w:t xml:space="preserve">DA standards and also the Code. CHREA anticipates launching a unique training module which is geared to these training requirements by then end of the 2015 academic year (mid-April). </w:t>
      </w:r>
    </w:p>
    <w:p w14:paraId="4F1ABAE9" w14:textId="3BC79B53" w:rsidR="00705223" w:rsidRPr="009E5B05" w:rsidRDefault="00A5367E" w:rsidP="00A5367E">
      <w:pPr>
        <w:pStyle w:val="Heading2"/>
      </w:pPr>
      <w:r w:rsidRPr="00A5367E">
        <w:t>P</w:t>
      </w:r>
      <w:r w:rsidR="00705223" w:rsidRPr="00A5367E">
        <w:t>art II: Information &amp; Communication Standards</w:t>
      </w:r>
    </w:p>
    <w:p w14:paraId="45744EAC" w14:textId="1FD9FBB1" w:rsidR="00BE1B86" w:rsidRPr="009E5B05" w:rsidRDefault="00BE1B86" w:rsidP="009E5B05">
      <w:pPr>
        <w:autoSpaceDE w:val="0"/>
        <w:autoSpaceDN w:val="0"/>
        <w:adjustRightInd w:val="0"/>
        <w:rPr>
          <w:rFonts w:ascii="Segoe UI" w:hAnsi="Segoe UI" w:cs="Segoe UI"/>
          <w:color w:val="000000"/>
        </w:rPr>
      </w:pPr>
      <w:r w:rsidRPr="000400F1">
        <w:t>F</w:t>
      </w:r>
      <w:r w:rsidR="009E5472" w:rsidRPr="000400F1">
        <w:t>eedback</w:t>
      </w:r>
      <w:r w:rsidRPr="000400F1">
        <w:t xml:space="preserve"> Mechanism</w:t>
      </w:r>
    </w:p>
    <w:p w14:paraId="19FB05B0" w14:textId="6196ECBD" w:rsidR="00BE1B86" w:rsidRDefault="00BE1B86" w:rsidP="009E5B05">
      <w:r w:rsidRPr="000400F1">
        <w:t>The IASR required Trent to</w:t>
      </w:r>
      <w:r w:rsidR="00FC47EA">
        <w:t xml:space="preserve"> expand t</w:t>
      </w:r>
      <w:r w:rsidRPr="000400F1">
        <w:t>he present Customer Service Feedback process to incl</w:t>
      </w:r>
      <w:r w:rsidR="00FC47EA">
        <w:t>ude the new requirements.  The C</w:t>
      </w:r>
      <w:r w:rsidRPr="000400F1">
        <w:t>HREA website was updated accordingly.</w:t>
      </w:r>
    </w:p>
    <w:p w14:paraId="390B06A1" w14:textId="77777777" w:rsidR="00167B91" w:rsidRPr="00FC47EA" w:rsidRDefault="00167B91" w:rsidP="00A5367E">
      <w:pPr>
        <w:pStyle w:val="Heading3"/>
      </w:pPr>
      <w:r w:rsidRPr="00FC47EA">
        <w:t>Websites</w:t>
      </w:r>
    </w:p>
    <w:p w14:paraId="514B1E4E" w14:textId="70410A90" w:rsidR="00FA6B79" w:rsidRDefault="00FC47EA" w:rsidP="00FA6B79">
      <w:r>
        <w:t xml:space="preserve">The </w:t>
      </w:r>
      <w:r w:rsidR="005F5E38">
        <w:t>Integrated Ac</w:t>
      </w:r>
      <w:r>
        <w:t xml:space="preserve">cessibility Standard Regulation (IASR) </w:t>
      </w:r>
      <w:r w:rsidR="00167B91">
        <w:t>required that websites and web content comply with</w:t>
      </w:r>
      <w:r w:rsidR="0016727A">
        <w:t xml:space="preserve"> WCAG 2.0 Level </w:t>
      </w:r>
      <w:r w:rsidR="00167B91">
        <w:t>A</w:t>
      </w:r>
      <w:r w:rsidR="009221EE">
        <w:t>.</w:t>
      </w:r>
      <w:r w:rsidR="00167B91">
        <w:t xml:space="preserve"> Guidelines by January 1, 2014. Trent’s websites and content in both Peterborough and Oshawa are now in compliance with this requirement. </w:t>
      </w:r>
      <w:r w:rsidR="0016727A">
        <w:t xml:space="preserve">This aspect of compliance was met through extensive collaboration with various departments </w:t>
      </w:r>
      <w:r w:rsidR="0008792A">
        <w:t xml:space="preserve">and </w:t>
      </w:r>
      <w:r w:rsidR="0016727A">
        <w:t xml:space="preserve">included an emphasis on educating staff, faculty and others in the Trent Community who may have been/continue to be involved in webpage creation and management. One part of this training involved a two (2) day workshop hosted by an external accessibility consulting company with expertise in web accessibility design and standards. This event was attended by key Trent stakeholders from various departments including the Information Technology Department, Marketing and Communications, Student Accessibility Services and the </w:t>
      </w:r>
      <w:r w:rsidR="009221EE">
        <w:t>Centre</w:t>
      </w:r>
      <w:r w:rsidR="0016727A">
        <w:t xml:space="preserve"> </w:t>
      </w:r>
      <w:r w:rsidR="009221EE">
        <w:t>for</w:t>
      </w:r>
      <w:r w:rsidR="0016727A">
        <w:t xml:space="preserve"> Human Rights, Equity and Accessibility. Another key element of this web accessibility training was the </w:t>
      </w:r>
      <w:r w:rsidR="009221EE">
        <w:t>development</w:t>
      </w:r>
      <w:r w:rsidR="0016727A">
        <w:t xml:space="preserve"> and dissemination of a document on creation and maintenance</w:t>
      </w:r>
      <w:r w:rsidR="003B3686">
        <w:t xml:space="preserve"> of Trent’s web pages which was primarily the work of </w:t>
      </w:r>
      <w:proofErr w:type="spellStart"/>
      <w:r w:rsidR="003B3686">
        <w:t>Katriona</w:t>
      </w:r>
      <w:proofErr w:type="spellEnd"/>
      <w:r w:rsidR="003B3686">
        <w:t xml:space="preserve"> Dean in the Marketing and Communications Department. This document is available on the Marketi</w:t>
      </w:r>
      <w:r w:rsidR="00705223">
        <w:t>ng and Communications Intranet.</w:t>
      </w:r>
    </w:p>
    <w:p w14:paraId="09E5750A" w14:textId="00CB9991" w:rsidR="00705223" w:rsidRPr="00A5367E" w:rsidRDefault="00705223" w:rsidP="00A5367E">
      <w:pPr>
        <w:pStyle w:val="Heading2"/>
        <w:rPr>
          <w:lang w:val="fr-CA"/>
        </w:rPr>
      </w:pPr>
      <w:r w:rsidRPr="00A5367E">
        <w:rPr>
          <w:lang w:val="fr-CA"/>
        </w:rPr>
        <w:t xml:space="preserve">Part III: </w:t>
      </w:r>
      <w:proofErr w:type="spellStart"/>
      <w:r w:rsidRPr="00A5367E">
        <w:rPr>
          <w:lang w:val="fr-CA"/>
        </w:rPr>
        <w:t>Employment</w:t>
      </w:r>
      <w:proofErr w:type="spellEnd"/>
    </w:p>
    <w:p w14:paraId="7E25CAA7" w14:textId="400A7EE3" w:rsidR="009E5B05" w:rsidRPr="00FA6B79" w:rsidRDefault="00B43688" w:rsidP="00705223">
      <w:r>
        <w:t>CHREA</w:t>
      </w:r>
      <w:r w:rsidR="00C86BF0" w:rsidRPr="00FC47EA">
        <w:t xml:space="preserve">, the Human Resource Department, the Office of Research and the Deans’ office </w:t>
      </w:r>
      <w:r>
        <w:t>worked together to meet requirements under the Employment Standard (</w:t>
      </w:r>
      <w:r w:rsidR="00C86BF0" w:rsidRPr="00FC47EA">
        <w:t>Reg. 191/11, s. 22-32</w:t>
      </w:r>
      <w:r>
        <w:t>)</w:t>
      </w:r>
      <w:r w:rsidR="00A70783">
        <w:t xml:space="preserve"> which came into effect January </w:t>
      </w:r>
      <w:r>
        <w:t xml:space="preserve">1, 2014. </w:t>
      </w:r>
    </w:p>
    <w:p w14:paraId="656D9FC4" w14:textId="0ADC546B" w:rsidR="00E9695F" w:rsidRPr="00FA6B79" w:rsidRDefault="00E9695F" w:rsidP="00A5367E">
      <w:pPr>
        <w:pStyle w:val="Heading3"/>
      </w:pPr>
      <w:r w:rsidRPr="00FA6B79">
        <w:lastRenderedPageBreak/>
        <w:t>Accommodation Policy for Employees</w:t>
      </w:r>
    </w:p>
    <w:p w14:paraId="450C8394" w14:textId="77777777" w:rsidR="00FA6B79" w:rsidRDefault="00F60AFA" w:rsidP="00FA6B79">
      <w:r>
        <w:t xml:space="preserve">In May 2014, the Human </w:t>
      </w:r>
      <w:r w:rsidR="00246C3A">
        <w:t xml:space="preserve">Resource Department released a new Accommodation Policy for Employees with Disabilities. The purpose of this policy </w:t>
      </w:r>
      <w:r w:rsidR="009221EE">
        <w:t>is</w:t>
      </w:r>
      <w:r w:rsidR="00203298">
        <w:t xml:space="preserve"> to provide a clear statement of the university’s obligation to </w:t>
      </w:r>
      <w:r w:rsidR="00A70783">
        <w:t>offer</w:t>
      </w:r>
      <w:r w:rsidR="00203298">
        <w:t xml:space="preserve"> disability-related accommodation to employees</w:t>
      </w:r>
      <w:r w:rsidR="007D0043">
        <w:t>.</w:t>
      </w:r>
      <w:r w:rsidR="00694632">
        <w:t xml:space="preserve"> </w:t>
      </w:r>
      <w:r w:rsidR="007D0043">
        <w:t>The policy also aims to</w:t>
      </w:r>
      <w:r w:rsidR="00694632">
        <w:t xml:space="preserve"> </w:t>
      </w:r>
      <w:r w:rsidR="00203298">
        <w:t>provid</w:t>
      </w:r>
      <w:r w:rsidR="007D0043">
        <w:t>e</w:t>
      </w:r>
      <w:r w:rsidR="00203298">
        <w:t xml:space="preserve"> guidance on processes related to transitional or modified work as well as temporary and permanent accommodations (Accommodation Policy for Employees with Disabilities, 2014). </w:t>
      </w:r>
    </w:p>
    <w:p w14:paraId="0777E445" w14:textId="0C20A61A" w:rsidR="002213DA" w:rsidRPr="00FA6B79" w:rsidRDefault="002213DA" w:rsidP="00A5367E">
      <w:pPr>
        <w:pStyle w:val="Heading3"/>
        <w:rPr>
          <w:rFonts w:cstheme="minorBidi"/>
        </w:rPr>
      </w:pPr>
      <w:r w:rsidRPr="00FC47EA">
        <w:t xml:space="preserve">Notification of Accommodation Availability </w:t>
      </w:r>
      <w:r w:rsidR="00A840E7">
        <w:t>- Recruitment</w:t>
      </w:r>
    </w:p>
    <w:p w14:paraId="1D7CD69A" w14:textId="67A1C8B9" w:rsidR="004E740E" w:rsidRDefault="00694632" w:rsidP="00FA6B79">
      <w:r>
        <w:t xml:space="preserve">The </w:t>
      </w:r>
      <w:r w:rsidR="002213DA">
        <w:t>Human Resource</w:t>
      </w:r>
      <w:r>
        <w:t xml:space="preserve"> Department</w:t>
      </w:r>
      <w:r w:rsidR="002213DA">
        <w:t xml:space="preserve"> has implemented a number of language </w:t>
      </w:r>
      <w:r>
        <w:t>amendments</w:t>
      </w:r>
      <w:r w:rsidR="002213DA">
        <w:t xml:space="preserve"> to documents utilized in the recruitment processes </w:t>
      </w:r>
      <w:r w:rsidR="004E740E">
        <w:t>by adding</w:t>
      </w:r>
      <w:r w:rsidR="002213DA">
        <w:t xml:space="preserve"> a statement</w:t>
      </w:r>
      <w:r>
        <w:t xml:space="preserve"> to</w:t>
      </w:r>
      <w:r w:rsidR="002213DA">
        <w:t xml:space="preserve"> notify those involved in these processes that disability-related accommodations are available, upon request. </w:t>
      </w:r>
    </w:p>
    <w:p w14:paraId="594199E0" w14:textId="77777777" w:rsidR="004E740E" w:rsidRDefault="00A70783" w:rsidP="00FA6B79">
      <w:r>
        <w:t xml:space="preserve">These </w:t>
      </w:r>
      <w:r w:rsidR="004E740E">
        <w:t>statements notify:</w:t>
      </w:r>
    </w:p>
    <w:p w14:paraId="44B90E9A" w14:textId="77777777" w:rsidR="004E740E" w:rsidRPr="00FA6B79" w:rsidRDefault="004E740E" w:rsidP="00FA6B79">
      <w:pPr>
        <w:pStyle w:val="ListBullet"/>
      </w:pPr>
      <w:r w:rsidRPr="00FA6B79">
        <w:t>Internal and external applicants/job seekers via statement placed on job postings</w:t>
      </w:r>
      <w:r w:rsidR="007D0043" w:rsidRPr="00FA6B79">
        <w:t>.</w:t>
      </w:r>
      <w:r w:rsidRPr="00FA6B79">
        <w:t xml:space="preserve"> </w:t>
      </w:r>
    </w:p>
    <w:p w14:paraId="0A71F6D3" w14:textId="77777777" w:rsidR="004E740E" w:rsidRPr="00FA6B79" w:rsidRDefault="004E740E" w:rsidP="00FA6B79">
      <w:pPr>
        <w:pStyle w:val="ListBullet"/>
      </w:pPr>
      <w:r w:rsidRPr="00FA6B79">
        <w:t>External applicant</w:t>
      </w:r>
      <w:r w:rsidR="007D0043" w:rsidRPr="00FA6B79">
        <w:t>s</w:t>
      </w:r>
      <w:r w:rsidRPr="00FA6B79">
        <w:t xml:space="preserve"> via statement placed on employment application form</w:t>
      </w:r>
      <w:r w:rsidR="007D0043" w:rsidRPr="00FA6B79">
        <w:t>.</w:t>
      </w:r>
    </w:p>
    <w:p w14:paraId="5116BE10" w14:textId="77777777" w:rsidR="00197FB7" w:rsidRPr="00FA6B79" w:rsidRDefault="004E740E" w:rsidP="00FA6B79">
      <w:pPr>
        <w:pStyle w:val="ListBullet"/>
      </w:pPr>
      <w:r w:rsidRPr="00FA6B79">
        <w:t>Applic</w:t>
      </w:r>
      <w:r w:rsidR="00197FB7" w:rsidRPr="00FA6B79">
        <w:t xml:space="preserve">ants invited to participate in </w:t>
      </w:r>
      <w:r w:rsidRPr="00FA6B79">
        <w:t xml:space="preserve">selection process </w:t>
      </w:r>
      <w:r w:rsidR="00197FB7" w:rsidRPr="00FA6B79">
        <w:t xml:space="preserve">via statement within </w:t>
      </w:r>
      <w:r w:rsidR="00A70783" w:rsidRPr="00FA6B79">
        <w:t xml:space="preserve">telephone </w:t>
      </w:r>
      <w:r w:rsidR="00197FB7" w:rsidRPr="00FA6B79">
        <w:t xml:space="preserve">invitation and in follow-up interview. </w:t>
      </w:r>
    </w:p>
    <w:p w14:paraId="6D752372" w14:textId="127009A5" w:rsidR="005D1A93" w:rsidRDefault="00197FB7" w:rsidP="001B43F3">
      <w:pPr>
        <w:pStyle w:val="ListBullet"/>
        <w:spacing w:after="240"/>
      </w:pPr>
      <w:r w:rsidRPr="00FA6B79">
        <w:t xml:space="preserve">Successful applicants via </w:t>
      </w:r>
      <w:r w:rsidR="00694632" w:rsidRPr="00FA6B79">
        <w:t xml:space="preserve">a </w:t>
      </w:r>
      <w:r w:rsidRPr="00FA6B79">
        <w:t xml:space="preserve">statement placed in letters of appointment. </w:t>
      </w:r>
      <w:bookmarkStart w:id="0" w:name="_GoBack"/>
      <w:bookmarkEnd w:id="0"/>
    </w:p>
    <w:p w14:paraId="3F828209" w14:textId="79DE8714" w:rsidR="00791DF1" w:rsidRPr="00FA6B79" w:rsidRDefault="00791DF1" w:rsidP="001B43F3">
      <w:r w:rsidRPr="00123E43">
        <w:t>Sample</w:t>
      </w:r>
      <w:r>
        <w:t xml:space="preserve">: </w:t>
      </w:r>
    </w:p>
    <w:p w14:paraId="31FC6989" w14:textId="3F4B5368" w:rsidR="00A5367E" w:rsidRPr="00A964A9" w:rsidRDefault="00A5367E" w:rsidP="00A5367E">
      <w:r>
        <w:t>“</w:t>
      </w:r>
      <w:r w:rsidRPr="00A5367E">
        <w:t>Job Posting</w:t>
      </w:r>
    </w:p>
    <w:p w14:paraId="1F4DCBE3" w14:textId="1AEC607F" w:rsidR="00FA6B79" w:rsidRPr="00A5367E" w:rsidRDefault="00A5367E" w:rsidP="0093094C">
      <w:pPr>
        <w:rPr>
          <w:rFonts w:cs="Arial"/>
        </w:rPr>
      </w:pPr>
      <w:r w:rsidRPr="00E442BA">
        <w:rPr>
          <w:rFonts w:cs="Arial"/>
        </w:rPr>
        <w:t>Trent University is actively committed to creating a diverse and inclusive campus community and encourages applications from</w:t>
      </w:r>
      <w:r>
        <w:rPr>
          <w:rFonts w:cs="Arial"/>
        </w:rPr>
        <w:t xml:space="preserve"> all</w:t>
      </w:r>
      <w:r w:rsidRPr="00E442BA">
        <w:rPr>
          <w:rFonts w:cs="Arial"/>
        </w:rPr>
        <w:t xml:space="preserve"> qualified candidates</w:t>
      </w:r>
      <w:r w:rsidRPr="003E1709">
        <w:rPr>
          <w:rFonts w:cs="Arial"/>
        </w:rPr>
        <w:t xml:space="preserve">. Trent University offers accommodation for applicants with disabilities in its recruitment processes. </w:t>
      </w:r>
      <w:r>
        <w:rPr>
          <w:rFonts w:cs="Arial"/>
        </w:rPr>
        <w:t>If you require accommodation</w:t>
      </w:r>
      <w:r w:rsidRPr="003E1709">
        <w:rPr>
          <w:rFonts w:cs="Arial"/>
        </w:rPr>
        <w:t xml:space="preserve"> during the recruitment process</w:t>
      </w:r>
      <w:r>
        <w:rPr>
          <w:rFonts w:cs="Arial"/>
        </w:rPr>
        <w:t xml:space="preserve"> or require an accessible version of a document/publication, please</w:t>
      </w:r>
      <w:r w:rsidRPr="003E1709">
        <w:rPr>
          <w:rFonts w:cs="Arial"/>
        </w:rPr>
        <w:t xml:space="preserve"> </w:t>
      </w:r>
      <w:r>
        <w:rPr>
          <w:rFonts w:cs="Arial"/>
        </w:rPr>
        <w:t xml:space="preserve">contact </w:t>
      </w:r>
      <w:hyperlink r:id="rId8" w:history="1">
        <w:r w:rsidRPr="009975CE">
          <w:rPr>
            <w:rStyle w:val="Hyperlink"/>
            <w:rFonts w:cs="Arial"/>
          </w:rPr>
          <w:t>humanresources@trentu.ca</w:t>
        </w:r>
      </w:hyperlink>
      <w:r>
        <w:rPr>
          <w:rFonts w:cs="Arial"/>
        </w:rPr>
        <w:t>.”</w:t>
      </w:r>
    </w:p>
    <w:p w14:paraId="35844E16" w14:textId="77777777" w:rsidR="00FA6B79" w:rsidRDefault="00A15594" w:rsidP="00FA6B79">
      <w:r>
        <w:t xml:space="preserve">The Dean’s Office has a similar statement related to accommodations in the recruitment process. </w:t>
      </w:r>
    </w:p>
    <w:p w14:paraId="6DFD5A1F" w14:textId="56E71CE4" w:rsidR="00A15594" w:rsidRPr="00FC47EA" w:rsidRDefault="00A15594" w:rsidP="00123E43">
      <w:r w:rsidRPr="00FC47EA">
        <w:t>Sample:</w:t>
      </w:r>
    </w:p>
    <w:p w14:paraId="33006D17" w14:textId="4D6AB3D1" w:rsidR="00A5367E" w:rsidRPr="00222211" w:rsidRDefault="00A5367E" w:rsidP="00A5367E">
      <w:r>
        <w:t>“</w:t>
      </w:r>
      <w:r w:rsidRPr="00222211">
        <w:t xml:space="preserve">Job Posting </w:t>
      </w:r>
    </w:p>
    <w:p w14:paraId="21708234" w14:textId="382DB341" w:rsidR="00A15594" w:rsidRPr="00A5367E" w:rsidRDefault="00A5367E" w:rsidP="0093094C">
      <w:pPr>
        <w:rPr>
          <w:rFonts w:ascii="Calibri" w:hAnsi="Calibri"/>
        </w:rPr>
      </w:pPr>
      <w:r w:rsidRPr="00222211">
        <w:t xml:space="preserve">Trent University is actively committed to creating a diverse and inclusive campus community and encourages applications from qualified candidates. Trent University offers accommodation for applicants with disabilities in its recruitment processes. If you require accommodation during the recruitment process or require an accessible version of a document/publication, please contact </w:t>
      </w:r>
      <w:hyperlink r:id="rId9" w:history="1">
        <w:r w:rsidRPr="00222211">
          <w:rPr>
            <w:rStyle w:val="Hyperlink"/>
          </w:rPr>
          <w:t>chair@trentu.ca</w:t>
        </w:r>
      </w:hyperlink>
      <w:r w:rsidRPr="00222211">
        <w:t>.</w:t>
      </w:r>
      <w:r>
        <w:t>”</w:t>
      </w:r>
    </w:p>
    <w:p w14:paraId="4D17AE3B" w14:textId="77777777" w:rsidR="00425587" w:rsidRDefault="00A840E7" w:rsidP="00A5367E">
      <w:pPr>
        <w:pStyle w:val="Heading3"/>
      </w:pPr>
      <w:r w:rsidRPr="00FC47EA">
        <w:t xml:space="preserve">Notification of Accommodation Availability </w:t>
      </w:r>
      <w:r>
        <w:t>–</w:t>
      </w:r>
      <w:r w:rsidRPr="00FC47EA">
        <w:t xml:space="preserve"> Current Employees</w:t>
      </w:r>
    </w:p>
    <w:p w14:paraId="017FA0C2" w14:textId="6426E57C" w:rsidR="00A066E2" w:rsidRPr="00FA6B79" w:rsidRDefault="0089196B" w:rsidP="00FA6B79">
      <w:r>
        <w:t xml:space="preserve">In the previous year, notification of the availability of disability-related accommodations for current employees has focused on conveying this information through </w:t>
      </w:r>
      <w:r w:rsidR="00401335">
        <w:t>dissemination</w:t>
      </w:r>
      <w:r>
        <w:t xml:space="preserve"> of the new Accommodation Policy for Employees with Disabili</w:t>
      </w:r>
      <w:r w:rsidR="0093094C">
        <w:t xml:space="preserve">ties. </w:t>
      </w:r>
      <w:r w:rsidR="00C05F43">
        <w:t>In total</w:t>
      </w:r>
      <w:r w:rsidR="007D0043">
        <w:t>,</w:t>
      </w:r>
      <w:r w:rsidR="00C05F43">
        <w:t xml:space="preserve"> three (3) workshops on this topic w</w:t>
      </w:r>
      <w:r w:rsidR="007D0043">
        <w:t>ere conducted by Human Resources</w:t>
      </w:r>
      <w:r w:rsidR="00694632">
        <w:t xml:space="preserve"> </w:t>
      </w:r>
      <w:r w:rsidR="00C05F43">
        <w:t>including training specific to managers</w:t>
      </w:r>
      <w:r w:rsidR="00694632">
        <w:t xml:space="preserve"> and staff, </w:t>
      </w:r>
      <w:r w:rsidR="00C05F43">
        <w:t>as</w:t>
      </w:r>
      <w:r w:rsidR="0000008F">
        <w:t xml:space="preserve"> well as</w:t>
      </w:r>
      <w:r w:rsidR="00C05F43">
        <w:t xml:space="preserve"> training which occurred at the departmental level. </w:t>
      </w:r>
      <w:r w:rsidR="00A066E2">
        <w:t xml:space="preserve">Additional workshops are planned as part of this year’s staff development events. Current employees are also informed of availability of accommodations directly through supervisors </w:t>
      </w:r>
      <w:r w:rsidR="00694632">
        <w:t>and</w:t>
      </w:r>
      <w:r w:rsidR="00A066E2">
        <w:t xml:space="preserve"> unions. </w:t>
      </w:r>
      <w:r w:rsidR="000D0E82">
        <w:t xml:space="preserve">The aforementioned policy is also posted on Trent’s </w:t>
      </w:r>
      <w:r w:rsidR="00600894">
        <w:t xml:space="preserve">website. </w:t>
      </w:r>
    </w:p>
    <w:p w14:paraId="1846E368" w14:textId="77777777" w:rsidR="00A066E2" w:rsidRDefault="00A066E2" w:rsidP="00A5367E">
      <w:pPr>
        <w:pStyle w:val="Heading3"/>
      </w:pPr>
      <w:r w:rsidRPr="00FC47EA">
        <w:lastRenderedPageBreak/>
        <w:t>Accessible Formats and Communication Supports for Employees</w:t>
      </w:r>
    </w:p>
    <w:p w14:paraId="6CF638AB" w14:textId="6E75E051" w:rsidR="00FA7B37" w:rsidRPr="00FA6B79" w:rsidRDefault="00457B58" w:rsidP="00FA6B79">
      <w:r>
        <w:t xml:space="preserve">This requirement relates to </w:t>
      </w:r>
      <w:r w:rsidR="004F033F">
        <w:t>information that an employee needs to perform job duties and to any other information that is generally available to employees in the workplace. Trent University has used mechanisms and strategies similar to those mentioned above as</w:t>
      </w:r>
      <w:r w:rsidR="00694632">
        <w:t xml:space="preserve"> a</w:t>
      </w:r>
      <w:r w:rsidR="004F033F">
        <w:t xml:space="preserve"> means of informing employees that accessible formats are available. Requests for accessible formats and communication supports can be received via one’s supervisor, directly through contact with </w:t>
      </w:r>
      <w:r w:rsidR="00694632">
        <w:t>H</w:t>
      </w:r>
      <w:r w:rsidR="004F033F">
        <w:t xml:space="preserve">uman </w:t>
      </w:r>
      <w:r w:rsidR="00694632">
        <w:t>R</w:t>
      </w:r>
      <w:r w:rsidR="004F033F">
        <w:t>esources or through utilizing the accessible formats request form on the Centre for Human Rights</w:t>
      </w:r>
      <w:r w:rsidR="008238A6">
        <w:t xml:space="preserve">, Equity and Accessibility </w:t>
      </w:r>
      <w:r w:rsidR="00A96C0C">
        <w:t xml:space="preserve">webpage </w:t>
      </w:r>
      <w:hyperlink r:id="rId10" w:history="1">
        <w:r w:rsidR="00705223">
          <w:rPr>
            <w:rStyle w:val="Hyperlink"/>
            <w:rFonts w:ascii="Segoe UI" w:hAnsi="Segoe UI" w:cs="Segoe UI"/>
          </w:rPr>
          <w:t>Human Rights, Equity, and Accessibility Website</w:t>
        </w:r>
      </w:hyperlink>
      <w:r w:rsidR="004F033F">
        <w:t>.</w:t>
      </w:r>
    </w:p>
    <w:p w14:paraId="3CE8EEBC" w14:textId="77777777" w:rsidR="00FA7B37" w:rsidRDefault="00FA7B37" w:rsidP="00A5367E">
      <w:pPr>
        <w:pStyle w:val="Heading3"/>
      </w:pPr>
      <w:r w:rsidRPr="00FC47EA">
        <w:t xml:space="preserve">Documented Individual Accommodation Plans </w:t>
      </w:r>
    </w:p>
    <w:p w14:paraId="69CFBAE8" w14:textId="7176BE99" w:rsidR="009237E3" w:rsidRDefault="008238A6" w:rsidP="00FA6B79">
      <w:r w:rsidRPr="009E5472">
        <w:t>The need for emplo</w:t>
      </w:r>
      <w:r w:rsidR="000D4FE6" w:rsidRPr="009E5472">
        <w:t>yees with disabilities to have documented individual accommodation plans</w:t>
      </w:r>
      <w:r w:rsidR="00A221F3">
        <w:t>,</w:t>
      </w:r>
      <w:r w:rsidR="00B534DB">
        <w:t xml:space="preserve"> which</w:t>
      </w:r>
      <w:r w:rsidR="000D4FE6" w:rsidRPr="009E5472">
        <w:t xml:space="preserve"> </w:t>
      </w:r>
      <w:r w:rsidR="00E54745">
        <w:t>includ</w:t>
      </w:r>
      <w:r w:rsidR="00B534DB">
        <w:t>e</w:t>
      </w:r>
      <w:r w:rsidR="00E54745">
        <w:t xml:space="preserve"> accommodations to be provided</w:t>
      </w:r>
      <w:r w:rsidR="00B534DB">
        <w:t>,</w:t>
      </w:r>
      <w:r w:rsidR="00E54745">
        <w:t xml:space="preserve"> needs related to accessible formats</w:t>
      </w:r>
      <w:r w:rsidR="00A221F3">
        <w:t>,</w:t>
      </w:r>
      <w:r w:rsidR="00E54745">
        <w:t xml:space="preserve"> communication supports and individualiz</w:t>
      </w:r>
      <w:r w:rsidR="00B534DB">
        <w:t>ed emergency plans is highlighted in the legislation.</w:t>
      </w:r>
      <w:r w:rsidR="00E54745">
        <w:t xml:space="preserve"> The Accommodation Policy for Employ</w:t>
      </w:r>
      <w:r w:rsidR="00B10852">
        <w:t>ees with Disabilities outlines</w:t>
      </w:r>
      <w:r w:rsidR="00E54745">
        <w:t xml:space="preserve"> processes for the establishment of accommodation plans. </w:t>
      </w:r>
      <w:r w:rsidR="009237E3">
        <w:t>Development of a template for accommodation plans, as outlined in the Multi-year Accessibility Plan</w:t>
      </w:r>
      <w:r w:rsidR="00A221F3">
        <w:t>,</w:t>
      </w:r>
      <w:r w:rsidR="009237E3">
        <w:t xml:space="preserve"> were dismissed based on evidence that such a template was too simplistic and would not allow for meeting all of the</w:t>
      </w:r>
      <w:r w:rsidR="0000008F">
        <w:t xml:space="preserve"> variable</w:t>
      </w:r>
      <w:r w:rsidR="009237E3">
        <w:t xml:space="preserve"> of people with various disabilities. Individual accommodation plans are currently developed jointly with input from the employee, supervisor and human resources, as well </w:t>
      </w:r>
      <w:r w:rsidR="0000008F">
        <w:t>as</w:t>
      </w:r>
      <w:r w:rsidR="009237E3">
        <w:t xml:space="preserve"> union or workplace representative</w:t>
      </w:r>
      <w:r w:rsidR="00A221F3">
        <w:t>s</w:t>
      </w:r>
      <w:r w:rsidR="009237E3">
        <w:t xml:space="preserve">, </w:t>
      </w:r>
      <w:r w:rsidR="00B10852">
        <w:t xml:space="preserve">at the discretion of the employee. </w:t>
      </w:r>
    </w:p>
    <w:p w14:paraId="61423D28" w14:textId="77777777" w:rsidR="009237E3" w:rsidRPr="00FA6B79" w:rsidRDefault="000D0E82" w:rsidP="00A5367E">
      <w:pPr>
        <w:pStyle w:val="Heading3"/>
      </w:pPr>
      <w:r w:rsidRPr="00FA6B79">
        <w:t>Return to Work Process</w:t>
      </w:r>
    </w:p>
    <w:p w14:paraId="30577BD6" w14:textId="77777777" w:rsidR="00FA6B79" w:rsidRDefault="000D0E82" w:rsidP="00FA6B79">
      <w:r>
        <w:t xml:space="preserve">This requirement states a need for employers </w:t>
      </w:r>
      <w:r w:rsidR="00A221F3">
        <w:t>t</w:t>
      </w:r>
      <w:r>
        <w:t>o develop return to work process</w:t>
      </w:r>
      <w:r w:rsidR="00A221F3">
        <w:t>es</w:t>
      </w:r>
      <w:r>
        <w:t xml:space="preserve">, which includes steps that employers will take to facilitate return to work when an employee has been off work for disability-related reasons and requires an accommodation </w:t>
      </w:r>
      <w:r w:rsidR="00B10852">
        <w:t xml:space="preserve">upon </w:t>
      </w:r>
      <w:r>
        <w:t xml:space="preserve">return. This requirement includes the need to utilize the individual accommodation plan. Once again, Trent’s return to work processes are included in the Accommodation Policy for Employees with Disabilities. </w:t>
      </w:r>
    </w:p>
    <w:p w14:paraId="4D7BE77D" w14:textId="2736841B" w:rsidR="00B10852" w:rsidRPr="00FA6B79" w:rsidRDefault="00BB1BA5" w:rsidP="00A5367E">
      <w:pPr>
        <w:pStyle w:val="Heading3"/>
      </w:pPr>
      <w:r w:rsidRPr="00FA6B79">
        <w:t xml:space="preserve">Performance Management </w:t>
      </w:r>
    </w:p>
    <w:p w14:paraId="4C8CBF6D" w14:textId="00AA3D71" w:rsidR="005D1A93" w:rsidRPr="00FA6B79" w:rsidRDefault="00B10852" w:rsidP="00FA6B79">
      <w:r>
        <w:t>P</w:t>
      </w:r>
      <w:r w:rsidR="00BB1BA5">
        <w:t xml:space="preserve">erformance management </w:t>
      </w:r>
      <w:r>
        <w:t xml:space="preserve">requirements </w:t>
      </w:r>
      <w:r w:rsidR="00BB1BA5">
        <w:t xml:space="preserve">relate to ensuring that the employer takes into account an employee’s accessibility needs and individualized accommodation plan when conducting performance management </w:t>
      </w:r>
      <w:r w:rsidR="0000008F">
        <w:t>activities</w:t>
      </w:r>
      <w:r w:rsidR="00BB1BA5">
        <w:t>. Human Resources has undertaken a process by which establishment or re</w:t>
      </w:r>
      <w:r w:rsidR="00161EB8">
        <w:t>-</w:t>
      </w:r>
      <w:r w:rsidR="00BB1BA5">
        <w:t xml:space="preserve">evaluation of an employee’s need for accommodation </w:t>
      </w:r>
      <w:r>
        <w:t>is</w:t>
      </w:r>
      <w:r w:rsidR="00BB1BA5">
        <w:t xml:space="preserve"> reviewed at</w:t>
      </w:r>
      <w:r w:rsidR="0000008F">
        <w:t xml:space="preserve"> the time of performance review</w:t>
      </w:r>
      <w:r w:rsidR="00BB1BA5">
        <w:t xml:space="preserve">. </w:t>
      </w:r>
    </w:p>
    <w:p w14:paraId="4E988626" w14:textId="77777777" w:rsidR="00EB3D54" w:rsidRPr="00FA6B79" w:rsidRDefault="00EB3D54" w:rsidP="00A5367E">
      <w:pPr>
        <w:pStyle w:val="Heading3"/>
      </w:pPr>
      <w:r w:rsidRPr="00FA6B79">
        <w:t>Redeployment</w:t>
      </w:r>
    </w:p>
    <w:p w14:paraId="4C5F3991" w14:textId="222C2888" w:rsidR="00EB3D54" w:rsidRDefault="00EB3D54" w:rsidP="00FA6B79">
      <w:r>
        <w:t>A checklist for departing employees</w:t>
      </w:r>
      <w:r w:rsidR="00B534DB">
        <w:t xml:space="preserve"> helps to ensure that</w:t>
      </w:r>
      <w:r>
        <w:t xml:space="preserve"> any relevant redeployment takes into account the employees’ accommodation needs</w:t>
      </w:r>
      <w:r w:rsidR="00915663">
        <w:t>.</w:t>
      </w:r>
      <w:r>
        <w:t xml:space="preserve">  </w:t>
      </w:r>
    </w:p>
    <w:p w14:paraId="45F379F8" w14:textId="77777777" w:rsidR="00705223" w:rsidRPr="00A5367E" w:rsidRDefault="00705223" w:rsidP="00A5367E">
      <w:pPr>
        <w:pStyle w:val="Heading1"/>
      </w:pPr>
      <w:r w:rsidRPr="00A5367E">
        <w:t>Section 2</w:t>
      </w:r>
    </w:p>
    <w:p w14:paraId="289AFD95" w14:textId="3BA918BF" w:rsidR="00705223" w:rsidRPr="00A5367E" w:rsidRDefault="00705223" w:rsidP="00A5367E">
      <w:pPr>
        <w:pStyle w:val="Heading2"/>
        <w:rPr>
          <w:lang w:val="fr-CA"/>
        </w:rPr>
      </w:pPr>
      <w:proofErr w:type="spellStart"/>
      <w:r w:rsidRPr="00A5367E">
        <w:rPr>
          <w:lang w:val="fr-CA"/>
        </w:rPr>
        <w:t>Ongoing</w:t>
      </w:r>
      <w:proofErr w:type="spellEnd"/>
      <w:r w:rsidRPr="00A5367E">
        <w:rPr>
          <w:lang w:val="fr-CA"/>
        </w:rPr>
        <w:t xml:space="preserve"> and </w:t>
      </w:r>
      <w:proofErr w:type="spellStart"/>
      <w:r w:rsidRPr="00A5367E">
        <w:rPr>
          <w:lang w:val="fr-CA"/>
        </w:rPr>
        <w:t>Looking</w:t>
      </w:r>
      <w:proofErr w:type="spellEnd"/>
      <w:r w:rsidRPr="00A5367E">
        <w:rPr>
          <w:lang w:val="fr-CA"/>
        </w:rPr>
        <w:t xml:space="preserve"> </w:t>
      </w:r>
      <w:proofErr w:type="spellStart"/>
      <w:r w:rsidRPr="00A5367E">
        <w:rPr>
          <w:lang w:val="fr-CA"/>
        </w:rPr>
        <w:t>Forward</w:t>
      </w:r>
      <w:proofErr w:type="spellEnd"/>
    </w:p>
    <w:p w14:paraId="5F173460" w14:textId="7C48AB22" w:rsidR="00D24825" w:rsidRPr="00FC47EA" w:rsidRDefault="005D1A93" w:rsidP="00A5367E">
      <w:pPr>
        <w:pStyle w:val="Heading3"/>
      </w:pPr>
      <w:r w:rsidRPr="00FC47EA">
        <w:t>O</w:t>
      </w:r>
      <w:r w:rsidR="00D24825" w:rsidRPr="00FC47EA">
        <w:t>n-going Customer Service Training Requirement</w:t>
      </w:r>
    </w:p>
    <w:p w14:paraId="7AB0B8CF" w14:textId="77777777" w:rsidR="00FA6B79" w:rsidRDefault="00B534DB" w:rsidP="00FA6B79">
      <w:r>
        <w:t xml:space="preserve">The </w:t>
      </w:r>
      <w:r w:rsidR="008B1D0F" w:rsidRPr="00FC47EA">
        <w:t xml:space="preserve">AODA Customer Service Standard (CSS) requires on-going training for new staff, faculty and student employees.  The </w:t>
      </w:r>
      <w:r w:rsidR="00A221F3">
        <w:t>C</w:t>
      </w:r>
      <w:r w:rsidR="008B1D0F" w:rsidRPr="00FC47EA">
        <w:t xml:space="preserve">HREA continues to offer training in multi-modalities to meet our legislative compliance.  All new hires are informed of the CSS </w:t>
      </w:r>
      <w:r w:rsidR="008B1D0F" w:rsidRPr="00FC47EA">
        <w:lastRenderedPageBreak/>
        <w:t>training requirement through Human Resources</w:t>
      </w:r>
      <w:r w:rsidR="0000008F">
        <w:t xml:space="preserve">, Risk Management, </w:t>
      </w:r>
      <w:r w:rsidR="008B1D0F" w:rsidRPr="00FC47EA">
        <w:t xml:space="preserve">new employee e-mail check list, and via New Staff Orientation. </w:t>
      </w:r>
    </w:p>
    <w:p w14:paraId="598E09F6" w14:textId="77777777" w:rsidR="0093094C" w:rsidRDefault="008B1D0F" w:rsidP="0093094C">
      <w:r w:rsidRPr="00FC47EA">
        <w:t xml:space="preserve">In-person sessions are offered through the Human Resource Staff Development Schedule. </w:t>
      </w:r>
      <w:r w:rsidR="006E0761">
        <w:t>S</w:t>
      </w:r>
      <w:r w:rsidRPr="00FC47EA">
        <w:t>essions are also offered upon request for department</w:t>
      </w:r>
      <w:r w:rsidR="00B534DB">
        <w:t>al</w:t>
      </w:r>
      <w:r w:rsidRPr="00FC47EA">
        <w:t xml:space="preserve"> </w:t>
      </w:r>
      <w:r w:rsidR="000C114E" w:rsidRPr="00FC47EA">
        <w:t>groups.</w:t>
      </w:r>
    </w:p>
    <w:p w14:paraId="01FA8D8D" w14:textId="102CC135" w:rsidR="008B1D0F" w:rsidRPr="00FC47EA" w:rsidRDefault="00A5367E" w:rsidP="0093094C">
      <w:pPr>
        <w:spacing w:after="240"/>
      </w:pPr>
      <w:r>
        <w:t>E-le</w:t>
      </w:r>
      <w:r w:rsidR="008B1D0F" w:rsidRPr="00FC47EA">
        <w:t>arning sessions</w:t>
      </w:r>
      <w:r w:rsidR="0093094C">
        <w:t xml:space="preserve"> are offered through BLACKBOARD</w:t>
      </w:r>
      <w:r w:rsidR="008B1D0F" w:rsidRPr="00FC47EA">
        <w:t xml:space="preserve">  </w:t>
      </w:r>
    </w:p>
    <w:p w14:paraId="0414FE1E" w14:textId="6021A93B" w:rsidR="008B1D0F" w:rsidRPr="00FC47EA" w:rsidRDefault="008B1D0F" w:rsidP="0093094C">
      <w:r w:rsidRPr="00FC47EA">
        <w:t>201</w:t>
      </w:r>
      <w:r w:rsidR="002A1A4D">
        <w:t>3</w:t>
      </w:r>
      <w:r w:rsidRPr="00FC47EA">
        <w:t>-201</w:t>
      </w:r>
      <w:r w:rsidR="002A1A4D">
        <w:t>4</w:t>
      </w:r>
      <w:r w:rsidRPr="00FC47EA">
        <w:t xml:space="preserve"> Participants:</w:t>
      </w:r>
    </w:p>
    <w:p w14:paraId="3465789A" w14:textId="54FFA534" w:rsidR="008B1D0F" w:rsidRPr="00FC47EA" w:rsidRDefault="000C114E" w:rsidP="0093094C">
      <w:r w:rsidRPr="00FC47EA">
        <w:t xml:space="preserve">AODA </w:t>
      </w:r>
      <w:r w:rsidR="006E0761">
        <w:t xml:space="preserve">CSS </w:t>
      </w:r>
      <w:r w:rsidR="00705223">
        <w:t xml:space="preserve">Student Employees and Leaders: </w:t>
      </w:r>
      <w:r w:rsidR="002A1A4D">
        <w:t>132</w:t>
      </w:r>
      <w:r w:rsidRPr="00FC47EA">
        <w:t xml:space="preserve"> completed</w:t>
      </w:r>
    </w:p>
    <w:p w14:paraId="61444A3E" w14:textId="739B2962" w:rsidR="002A1A4D" w:rsidRPr="00A5367E" w:rsidRDefault="00705223" w:rsidP="0093094C">
      <w:r>
        <w:t xml:space="preserve">AODA CUPE CCS Training: </w:t>
      </w:r>
      <w:r w:rsidR="002A1A4D">
        <w:t>110</w:t>
      </w:r>
      <w:r w:rsidR="000C114E" w:rsidRPr="00FC47EA">
        <w:t xml:space="preserve"> completed</w:t>
      </w:r>
    </w:p>
    <w:p w14:paraId="13E11144" w14:textId="77777777" w:rsidR="002A1A4D" w:rsidRPr="00FC47EA" w:rsidRDefault="002A1A4D" w:rsidP="00A5367E">
      <w:pPr>
        <w:pStyle w:val="Heading3"/>
      </w:pPr>
      <w:r w:rsidRPr="00FC47EA">
        <w:t>Accessibility Awareness Training for Educators</w:t>
      </w:r>
    </w:p>
    <w:p w14:paraId="23C7DE89" w14:textId="310C3E18" w:rsidR="00E82DC9" w:rsidRDefault="00E82DC9" w:rsidP="00C5091D">
      <w:r>
        <w:t>As of January 1, 2013, Trent was required to provide its educators with accessibility awareness training so that they may create inclusive classroom environments and increased learning opportunities for students with disabilities. This training is offered on an on</w:t>
      </w:r>
      <w:r w:rsidR="00A5367E">
        <w:t xml:space="preserve">going basis through </w:t>
      </w:r>
      <w:proofErr w:type="spellStart"/>
      <w:r w:rsidR="00A5367E">
        <w:t>BlackBoard</w:t>
      </w:r>
      <w:proofErr w:type="spellEnd"/>
      <w:r w:rsidR="00A5367E">
        <w:t>.</w:t>
      </w:r>
    </w:p>
    <w:p w14:paraId="7DE1B4B2" w14:textId="0A147FFF" w:rsidR="00D93028" w:rsidRPr="00A5367E" w:rsidRDefault="00E82DC9" w:rsidP="00FA6B79">
      <w:r>
        <w:t xml:space="preserve">E-Learning Accessibility Awareness Training: </w:t>
      </w:r>
      <w:r w:rsidR="00A221F3">
        <w:t>324 completed to date</w:t>
      </w:r>
    </w:p>
    <w:p w14:paraId="56DE15E3" w14:textId="77777777" w:rsidR="00A54A73" w:rsidRPr="00C5091D" w:rsidRDefault="00C86BF0" w:rsidP="00A5367E">
      <w:pPr>
        <w:pStyle w:val="Heading3"/>
      </w:pPr>
      <w:r w:rsidRPr="00C5091D">
        <w:t>Continued Services:</w:t>
      </w:r>
    </w:p>
    <w:p w14:paraId="07C7DE18" w14:textId="77777777" w:rsidR="00C86BF0" w:rsidRPr="00FC47EA" w:rsidRDefault="00C86BF0" w:rsidP="00C5091D">
      <w:r w:rsidRPr="00FC47EA">
        <w:t>Accessible Customer Service Record Keeping</w:t>
      </w:r>
    </w:p>
    <w:p w14:paraId="199FEAC7" w14:textId="77777777" w:rsidR="00C86BF0" w:rsidRPr="00FC47EA" w:rsidRDefault="00C86BF0" w:rsidP="00C5091D">
      <w:r w:rsidRPr="00FC47EA">
        <w:t>Accessibility Customer Service Policy review</w:t>
      </w:r>
    </w:p>
    <w:p w14:paraId="4162DFEE" w14:textId="1A5AAAB2" w:rsidR="00FA6B79" w:rsidRDefault="00C86BF0" w:rsidP="00A5367E">
      <w:pPr>
        <w:spacing w:after="240"/>
      </w:pPr>
      <w:r w:rsidRPr="00FC47EA">
        <w:t>Feedback Mechanisms</w:t>
      </w:r>
    </w:p>
    <w:p w14:paraId="3E9794DB" w14:textId="5E5EBD7F" w:rsidR="00705223" w:rsidRPr="00A5367E" w:rsidRDefault="00705223" w:rsidP="00A5367E">
      <w:pPr>
        <w:pStyle w:val="Heading2"/>
      </w:pPr>
      <w:r w:rsidRPr="00A5367E">
        <w:t>Design of Public Spaces (formerly Built Environment)</w:t>
      </w:r>
    </w:p>
    <w:p w14:paraId="53877083" w14:textId="2627F3EA" w:rsidR="00A54A73" w:rsidRPr="00705223" w:rsidRDefault="00A54A73" w:rsidP="00EF7551">
      <w:pPr>
        <w:pStyle w:val="Heading3"/>
      </w:pPr>
      <w:bookmarkStart w:id="1" w:name="_Toc354339580"/>
      <w:r w:rsidRPr="00705223">
        <w:t xml:space="preserve">Accessibility Audit </w:t>
      </w:r>
      <w:bookmarkEnd w:id="1"/>
    </w:p>
    <w:p w14:paraId="77E67E88" w14:textId="77777777" w:rsidR="00C5091D" w:rsidRDefault="0000008F" w:rsidP="00C5091D">
      <w:r>
        <w:t>The C</w:t>
      </w:r>
      <w:r w:rsidR="00A54A73" w:rsidRPr="00FC47EA">
        <w:t>HREA worked with the Vice President</w:t>
      </w:r>
      <w:r w:rsidR="008763CA">
        <w:t xml:space="preserve">’s </w:t>
      </w:r>
      <w:r w:rsidR="00A54A73" w:rsidRPr="00FC47EA">
        <w:t xml:space="preserve">Office of Administration to secure funds for an additional component of the Accessibility Audit (2012) to be conducted.  The firm </w:t>
      </w:r>
      <w:proofErr w:type="spellStart"/>
      <w:r w:rsidR="00A54A73" w:rsidRPr="00FC47EA">
        <w:t>AccessAbility</w:t>
      </w:r>
      <w:proofErr w:type="spellEnd"/>
      <w:r w:rsidR="00A54A73" w:rsidRPr="00FC47EA">
        <w:t xml:space="preserve"> Advantage </w:t>
      </w:r>
      <w:r w:rsidR="00F236D0">
        <w:t>c</w:t>
      </w:r>
      <w:r w:rsidR="005D4530">
        <w:t>ompleted</w:t>
      </w:r>
      <w:r w:rsidR="00F236D0">
        <w:t xml:space="preserve"> a</w:t>
      </w:r>
      <w:r w:rsidR="00A54A73" w:rsidRPr="00FC47EA">
        <w:t xml:space="preserve"> document that prioritizes the recommendations over a 5 year plan and </w:t>
      </w:r>
      <w:r w:rsidR="00F236D0">
        <w:t>includes a</w:t>
      </w:r>
      <w:r w:rsidR="00A54A73" w:rsidRPr="00FC47EA">
        <w:t xml:space="preserve"> costing matrix.  This project </w:t>
      </w:r>
      <w:r w:rsidR="008D2DDC">
        <w:t xml:space="preserve">was </w:t>
      </w:r>
      <w:r w:rsidR="00A54A73" w:rsidRPr="00FC47EA">
        <w:t>complet</w:t>
      </w:r>
      <w:r w:rsidR="008D2DDC">
        <w:t>ed</w:t>
      </w:r>
      <w:r w:rsidR="00A54A73" w:rsidRPr="00FC47EA">
        <w:t xml:space="preserve"> in February 2014.  </w:t>
      </w:r>
    </w:p>
    <w:p w14:paraId="6C62A0C9" w14:textId="60911553" w:rsidR="00FB1ED3" w:rsidRPr="00FC47EA" w:rsidRDefault="00636A69" w:rsidP="00EF7551">
      <w:pPr>
        <w:pStyle w:val="Heading3"/>
      </w:pPr>
      <w:r w:rsidRPr="00FC47EA">
        <w:t>Accessible Routes Project</w:t>
      </w:r>
      <w:r w:rsidR="00FB1ED3">
        <w:t xml:space="preserve"> </w:t>
      </w:r>
    </w:p>
    <w:p w14:paraId="543539C7" w14:textId="7E1103E9" w:rsidR="00123E43" w:rsidRDefault="00A54A73" w:rsidP="00EF7551">
      <w:r w:rsidRPr="00FC47EA">
        <w:t xml:space="preserve">The </w:t>
      </w:r>
      <w:r w:rsidR="00F31078">
        <w:t>C</w:t>
      </w:r>
      <w:r w:rsidRPr="00FC47EA">
        <w:t xml:space="preserve">HREA worked with our Physical Resource Department in developing new signage that identifies </w:t>
      </w:r>
      <w:r w:rsidR="00C86BF0" w:rsidRPr="00FC47EA">
        <w:t>‘</w:t>
      </w:r>
      <w:r w:rsidRPr="00FC47EA">
        <w:t>Accessible Routes</w:t>
      </w:r>
      <w:r w:rsidR="00C86BF0" w:rsidRPr="00FC47EA">
        <w:t>’</w:t>
      </w:r>
      <w:r w:rsidRPr="00FC47EA">
        <w:t>.  This signage was</w:t>
      </w:r>
      <w:r w:rsidR="004F492C">
        <w:t xml:space="preserve"> first</w:t>
      </w:r>
      <w:r w:rsidRPr="00FC47EA">
        <w:t xml:space="preserve"> installed </w:t>
      </w:r>
      <w:r w:rsidR="00F236D0">
        <w:t>f</w:t>
      </w:r>
      <w:r w:rsidR="00F236D0" w:rsidRPr="00FC47EA">
        <w:t xml:space="preserve">all </w:t>
      </w:r>
      <w:r w:rsidRPr="00FC47EA">
        <w:t xml:space="preserve">2013.  The signs identify accessible entrances and routes into and between buildings on the </w:t>
      </w:r>
      <w:r w:rsidR="00F236D0">
        <w:t>Symons</w:t>
      </w:r>
      <w:r w:rsidR="00F236D0" w:rsidRPr="00FC47EA">
        <w:t xml:space="preserve"> </w:t>
      </w:r>
      <w:r w:rsidRPr="00FC47EA">
        <w:t xml:space="preserve">campus. The </w:t>
      </w:r>
      <w:r w:rsidR="00BE1B86">
        <w:t xml:space="preserve">next phase of the project took place in the winter of 2014 and involved installation </w:t>
      </w:r>
      <w:r w:rsidR="00F31078">
        <w:t xml:space="preserve">of </w:t>
      </w:r>
      <w:r w:rsidRPr="00FC47EA">
        <w:t xml:space="preserve">30 legend signs across campus to highlight accessible routes. </w:t>
      </w:r>
      <w:r w:rsidR="00BE1B86">
        <w:t>The accessible entrance sign portion of the project was expanded to</w:t>
      </w:r>
      <w:r w:rsidR="00B534DB">
        <w:t xml:space="preserve"> the</w:t>
      </w:r>
      <w:r w:rsidR="00BE1B86">
        <w:t xml:space="preserve"> </w:t>
      </w:r>
      <w:proofErr w:type="spellStart"/>
      <w:r w:rsidR="00BE1B86">
        <w:t>Traill</w:t>
      </w:r>
      <w:proofErr w:type="spellEnd"/>
      <w:r w:rsidR="00BE1B86">
        <w:t xml:space="preserve"> campus in </w:t>
      </w:r>
      <w:r w:rsidR="00F236D0">
        <w:t>f</w:t>
      </w:r>
      <w:r w:rsidR="00C5091D">
        <w:t>all 2014.</w:t>
      </w:r>
    </w:p>
    <w:p w14:paraId="48B5D659" w14:textId="77777777" w:rsidR="00A54A73" w:rsidRPr="00C5091D" w:rsidRDefault="00A54A73" w:rsidP="00123E43"/>
    <w:p w14:paraId="2F589901" w14:textId="77777777" w:rsidR="004B072B" w:rsidRDefault="00520D15" w:rsidP="00EF7551">
      <w:pPr>
        <w:keepNext/>
        <w:autoSpaceDE w:val="0"/>
        <w:autoSpaceDN w:val="0"/>
        <w:adjustRightInd w:val="0"/>
        <w:jc w:val="center"/>
      </w:pPr>
      <w:r>
        <w:rPr>
          <w:rFonts w:ascii="Segoe UI" w:hAnsi="Segoe UI" w:cs="Segoe UI"/>
          <w:noProof/>
        </w:rPr>
        <w:lastRenderedPageBreak/>
        <w:drawing>
          <wp:inline distT="0" distB="0" distL="0" distR="0" wp14:anchorId="3DDAA82B" wp14:editId="7A625825">
            <wp:extent cx="2600325" cy="3209925"/>
            <wp:effectExtent l="0" t="0" r="9525" b="9525"/>
            <wp:docPr id="2" name="Picture 2" descr="International Symbol for Accessibility with text underneath stating Accessible Route" title="Accessible Rout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3209925"/>
                    </a:xfrm>
                    <a:prstGeom prst="rect">
                      <a:avLst/>
                    </a:prstGeom>
                    <a:noFill/>
                    <a:ln>
                      <a:noFill/>
                    </a:ln>
                  </pic:spPr>
                </pic:pic>
              </a:graphicData>
            </a:graphic>
          </wp:inline>
        </w:drawing>
      </w:r>
    </w:p>
    <w:p w14:paraId="556B6D07" w14:textId="01BE2FAC" w:rsidR="00B42E28" w:rsidRPr="00EF7551" w:rsidRDefault="004B072B" w:rsidP="00EF7551">
      <w:pPr>
        <w:pStyle w:val="Caption"/>
        <w:jc w:val="center"/>
        <w:rPr>
          <w:i w:val="0"/>
          <w:color w:val="auto"/>
          <w:sz w:val="24"/>
        </w:rPr>
      </w:pPr>
      <w:r w:rsidRPr="00EF7551">
        <w:rPr>
          <w:i w:val="0"/>
          <w:color w:val="auto"/>
          <w:sz w:val="24"/>
        </w:rPr>
        <w:t>Figure</w:t>
      </w:r>
      <w:r w:rsidR="00EF7551">
        <w:rPr>
          <w:i w:val="0"/>
          <w:color w:val="auto"/>
          <w:sz w:val="24"/>
        </w:rPr>
        <w:t xml:space="preserve"> One</w:t>
      </w:r>
      <w:r w:rsidRPr="00EF7551">
        <w:rPr>
          <w:i w:val="0"/>
          <w:color w:val="auto"/>
          <w:sz w:val="24"/>
        </w:rPr>
        <w:t>: Accessible Route Sign</w:t>
      </w:r>
    </w:p>
    <w:p w14:paraId="5757F825" w14:textId="77777777" w:rsidR="00B806F3" w:rsidRDefault="00B806F3" w:rsidP="00EF7551">
      <w:pPr>
        <w:pStyle w:val="Heading3"/>
        <w:rPr>
          <w:noProof/>
          <w:lang w:eastAsia="en-CA"/>
        </w:rPr>
      </w:pPr>
      <w:r w:rsidRPr="00FC47EA">
        <w:rPr>
          <w:noProof/>
          <w:lang w:eastAsia="en-CA"/>
        </w:rPr>
        <w:t>Accessibility Renovations</w:t>
      </w:r>
    </w:p>
    <w:p w14:paraId="64D785F8" w14:textId="77777777" w:rsidR="00EC317F" w:rsidRPr="00EF7551" w:rsidRDefault="00EC317F" w:rsidP="00EF7551">
      <w:pPr>
        <w:pStyle w:val="ListParagraph"/>
        <w:numPr>
          <w:ilvl w:val="0"/>
          <w:numId w:val="24"/>
        </w:numPr>
      </w:pPr>
      <w:proofErr w:type="spellStart"/>
      <w:r w:rsidRPr="00EF7551">
        <w:t>Wenjack</w:t>
      </w:r>
      <w:proofErr w:type="spellEnd"/>
    </w:p>
    <w:p w14:paraId="4B385FFE" w14:textId="77777777" w:rsidR="00C5091D" w:rsidRDefault="00F236D0" w:rsidP="00C5091D">
      <w:pPr>
        <w:rPr>
          <w:noProof/>
          <w:lang w:eastAsia="en-CA"/>
        </w:rPr>
      </w:pPr>
      <w:r>
        <w:rPr>
          <w:noProof/>
          <w:lang w:eastAsia="en-CA"/>
        </w:rPr>
        <w:t>T</w:t>
      </w:r>
      <w:r w:rsidR="004A6BF1">
        <w:rPr>
          <w:noProof/>
          <w:lang w:eastAsia="en-CA"/>
        </w:rPr>
        <w:t>he Physical Resources Department worked during the summer and fall of 2014 on coordinating renovations to Wenajck Theatre which were aimed at im</w:t>
      </w:r>
      <w:r>
        <w:rPr>
          <w:noProof/>
          <w:lang w:eastAsia="en-CA"/>
        </w:rPr>
        <w:t>proving accessibility and complying</w:t>
      </w:r>
      <w:r w:rsidR="004A6BF1">
        <w:rPr>
          <w:noProof/>
          <w:lang w:eastAsia="en-CA"/>
        </w:rPr>
        <w:t xml:space="preserve"> with</w:t>
      </w:r>
      <w:r w:rsidR="00F31078">
        <w:rPr>
          <w:noProof/>
          <w:lang w:eastAsia="en-CA"/>
        </w:rPr>
        <w:t xml:space="preserve"> Ontario Building Code</w:t>
      </w:r>
      <w:r w:rsidR="00426B50">
        <w:rPr>
          <w:noProof/>
          <w:lang w:eastAsia="en-CA"/>
        </w:rPr>
        <w:t xml:space="preserve"> (OBC)</w:t>
      </w:r>
      <w:r w:rsidR="00F31078">
        <w:rPr>
          <w:noProof/>
          <w:lang w:eastAsia="en-CA"/>
        </w:rPr>
        <w:t xml:space="preserve"> </w:t>
      </w:r>
      <w:r w:rsidR="004A6BF1">
        <w:rPr>
          <w:noProof/>
          <w:lang w:eastAsia="en-CA"/>
        </w:rPr>
        <w:t xml:space="preserve">requirements. </w:t>
      </w:r>
      <w:r w:rsidR="00750476">
        <w:rPr>
          <w:noProof/>
          <w:lang w:eastAsia="en-CA"/>
        </w:rPr>
        <w:t xml:space="preserve">These renovations were quite extensive and included upgrades to the </w:t>
      </w:r>
      <w:r w:rsidR="00F31078">
        <w:rPr>
          <w:noProof/>
          <w:lang w:eastAsia="en-CA"/>
        </w:rPr>
        <w:t>t</w:t>
      </w:r>
      <w:r w:rsidR="00750476">
        <w:rPr>
          <w:noProof/>
          <w:lang w:eastAsia="en-CA"/>
        </w:rPr>
        <w:t>heatre itself</w:t>
      </w:r>
      <w:r w:rsidR="00F31078">
        <w:rPr>
          <w:noProof/>
          <w:lang w:eastAsia="en-CA"/>
        </w:rPr>
        <w:t>,</w:t>
      </w:r>
      <w:r w:rsidR="00750476">
        <w:rPr>
          <w:noProof/>
          <w:lang w:eastAsia="en-CA"/>
        </w:rPr>
        <w:t xml:space="preserve"> such as the addition of acessible power operated doors, alteration</w:t>
      </w:r>
      <w:r w:rsidR="00F31078">
        <w:rPr>
          <w:noProof/>
          <w:lang w:eastAsia="en-CA"/>
        </w:rPr>
        <w:t>s</w:t>
      </w:r>
      <w:r w:rsidR="00750476">
        <w:rPr>
          <w:noProof/>
          <w:lang w:eastAsia="en-CA"/>
        </w:rPr>
        <w:t xml:space="preserve"> to the back of the </w:t>
      </w:r>
      <w:r w:rsidR="00F31078">
        <w:rPr>
          <w:noProof/>
          <w:lang w:eastAsia="en-CA"/>
        </w:rPr>
        <w:t>theatre</w:t>
      </w:r>
      <w:r w:rsidR="00750476">
        <w:rPr>
          <w:noProof/>
          <w:lang w:eastAsia="en-CA"/>
        </w:rPr>
        <w:t xml:space="preserve"> to allow space for four (4) wheelchairs, addition of ta</w:t>
      </w:r>
      <w:r w:rsidR="0000008F">
        <w:rPr>
          <w:noProof/>
          <w:lang w:eastAsia="en-CA"/>
        </w:rPr>
        <w:t>ctile surfacing to stair at sta</w:t>
      </w:r>
      <w:r w:rsidR="00750476">
        <w:rPr>
          <w:noProof/>
          <w:lang w:eastAsia="en-CA"/>
        </w:rPr>
        <w:t>ge and stage istself (as per Code) and installation of a chair lift to improve access to the stage. Renovations also occurred to the accessible washroom a</w:t>
      </w:r>
      <w:r w:rsidR="00F31078">
        <w:rPr>
          <w:noProof/>
          <w:lang w:eastAsia="en-CA"/>
        </w:rPr>
        <w:t>d</w:t>
      </w:r>
      <w:r w:rsidR="00750476">
        <w:rPr>
          <w:noProof/>
          <w:lang w:eastAsia="en-CA"/>
        </w:rPr>
        <w:t xml:space="preserve">jacent to Wenajck, which brought it up to new Code standards and also included changes to signage in order to denote its status as a gender inclusive washroom space. </w:t>
      </w:r>
    </w:p>
    <w:p w14:paraId="362221CF" w14:textId="77777777" w:rsidR="00B42E28" w:rsidRPr="00C5091D" w:rsidRDefault="00EC317F" w:rsidP="00EF7551">
      <w:pPr>
        <w:pStyle w:val="ListParagraph"/>
        <w:numPr>
          <w:ilvl w:val="0"/>
          <w:numId w:val="24"/>
        </w:numPr>
      </w:pPr>
      <w:r w:rsidRPr="00C5091D">
        <w:t xml:space="preserve">Registrar’s Office </w:t>
      </w:r>
    </w:p>
    <w:p w14:paraId="4AADA943" w14:textId="0412E8EA" w:rsidR="00297C98" w:rsidRPr="00705223" w:rsidRDefault="00EC317F" w:rsidP="00705223">
      <w:pPr>
        <w:rPr>
          <w:noProof/>
          <w:lang w:eastAsia="en-CA"/>
        </w:rPr>
      </w:pPr>
      <w:r>
        <w:rPr>
          <w:noProof/>
          <w:lang w:eastAsia="en-CA"/>
        </w:rPr>
        <w:t>A number of accessibility-related renovations were made to the Regist</w:t>
      </w:r>
      <w:r w:rsidR="00705223">
        <w:rPr>
          <w:noProof/>
          <w:lang w:eastAsia="en-CA"/>
        </w:rPr>
        <w:t>rar’s Office in Blackburn Hall.</w:t>
      </w:r>
    </w:p>
    <w:p w14:paraId="7D69E7FA" w14:textId="15530A7C" w:rsidR="00D93028" w:rsidRPr="00EF7551" w:rsidRDefault="00297C98" w:rsidP="00EF7551">
      <w:pPr>
        <w:pStyle w:val="Heading2"/>
      </w:pPr>
      <w:r w:rsidRPr="00EF7551">
        <w:t>2015 Requirements</w:t>
      </w:r>
    </w:p>
    <w:p w14:paraId="79935F60" w14:textId="77777777" w:rsidR="00D93028" w:rsidRPr="00C5091D" w:rsidRDefault="00D86F13" w:rsidP="00EF7551">
      <w:pPr>
        <w:pStyle w:val="Heading3"/>
      </w:pPr>
      <w:r w:rsidRPr="00C5091D">
        <w:t>2015 AODA Compliance Packages</w:t>
      </w:r>
    </w:p>
    <w:p w14:paraId="1D8C1F4D" w14:textId="77777777" w:rsidR="00C5091D" w:rsidRDefault="00D86F13" w:rsidP="00C5091D">
      <w:pPr>
        <w:rPr>
          <w:lang w:eastAsia="en-CA"/>
        </w:rPr>
      </w:pPr>
      <w:r>
        <w:rPr>
          <w:lang w:eastAsia="en-CA"/>
        </w:rPr>
        <w:t xml:space="preserve">The Centre for Human Rights, Equity and Accessibility </w:t>
      </w:r>
      <w:r w:rsidR="005D4530">
        <w:rPr>
          <w:lang w:eastAsia="en-CA"/>
        </w:rPr>
        <w:t>has introduced a new initiative in</w:t>
      </w:r>
      <w:r w:rsidR="0000008F">
        <w:rPr>
          <w:lang w:eastAsia="en-CA"/>
        </w:rPr>
        <w:t xml:space="preserve"> which CHREA prepares packages</w:t>
      </w:r>
      <w:r w:rsidR="005D4530">
        <w:rPr>
          <w:lang w:eastAsia="en-CA"/>
        </w:rPr>
        <w:t xml:space="preserve"> to be sent to departments who are impacted by upcoming AODA requirements. These “compliance packages” consist of information regarding what a specific department can do to help Trent comply with upcoming or current AODA requirements. These packages also contain information on partnering with other relevant university departments </w:t>
      </w:r>
      <w:r w:rsidR="00A32960">
        <w:rPr>
          <w:lang w:eastAsia="en-CA"/>
        </w:rPr>
        <w:t xml:space="preserve">and seeking additional support through CHREA and external resources. The survey which </w:t>
      </w:r>
      <w:r w:rsidR="00F236D0">
        <w:rPr>
          <w:lang w:eastAsia="en-CA"/>
        </w:rPr>
        <w:t xml:space="preserve">recipient </w:t>
      </w:r>
      <w:r w:rsidR="00A32960">
        <w:rPr>
          <w:lang w:eastAsia="en-CA"/>
        </w:rPr>
        <w:t>departments are asked to complete</w:t>
      </w:r>
      <w:r w:rsidR="00426B50">
        <w:rPr>
          <w:lang w:eastAsia="en-CA"/>
        </w:rPr>
        <w:t xml:space="preserve"> will assist CHREA in</w:t>
      </w:r>
      <w:r w:rsidR="00A32960">
        <w:rPr>
          <w:lang w:eastAsia="en-CA"/>
        </w:rPr>
        <w:t xml:space="preserve"> track</w:t>
      </w:r>
      <w:r w:rsidR="00426B50">
        <w:rPr>
          <w:lang w:eastAsia="en-CA"/>
        </w:rPr>
        <w:t>ing</w:t>
      </w:r>
      <w:r w:rsidR="00A32960">
        <w:rPr>
          <w:lang w:eastAsia="en-CA"/>
        </w:rPr>
        <w:t xml:space="preserve"> what steps have been taken to comply with specific requirements and/or related b</w:t>
      </w:r>
      <w:r w:rsidR="009028F2">
        <w:rPr>
          <w:lang w:eastAsia="en-CA"/>
        </w:rPr>
        <w:t>est practices. These packages w</w:t>
      </w:r>
      <w:r w:rsidR="00A32960">
        <w:rPr>
          <w:lang w:eastAsia="en-CA"/>
        </w:rPr>
        <w:t xml:space="preserve">ere rolled out as </w:t>
      </w:r>
      <w:r w:rsidR="00A32960">
        <w:rPr>
          <w:lang w:eastAsia="en-CA"/>
        </w:rPr>
        <w:lastRenderedPageBreak/>
        <w:t xml:space="preserve">a trial in the fall of 2014 in order to receive stakeholder feedback and subsequent packages were sent to relevant departments in early January </w:t>
      </w:r>
      <w:r w:rsidR="00426B50">
        <w:rPr>
          <w:lang w:eastAsia="en-CA"/>
        </w:rPr>
        <w:t xml:space="preserve">2015 regarding the current </w:t>
      </w:r>
      <w:r w:rsidR="00A32960">
        <w:rPr>
          <w:lang w:eastAsia="en-CA"/>
        </w:rPr>
        <w:t xml:space="preserve">requirements. </w:t>
      </w:r>
      <w:r w:rsidR="005D4530">
        <w:rPr>
          <w:lang w:eastAsia="en-CA"/>
        </w:rPr>
        <w:t xml:space="preserve"> </w:t>
      </w:r>
    </w:p>
    <w:p w14:paraId="4AD4512A" w14:textId="2399926F" w:rsidR="00D93028" w:rsidRPr="00C5091D" w:rsidRDefault="00D93028" w:rsidP="00EF7551">
      <w:pPr>
        <w:pStyle w:val="Heading3"/>
      </w:pPr>
      <w:r w:rsidRPr="00C5091D">
        <w:t>Information and Communication Standard</w:t>
      </w:r>
      <w:r w:rsidR="00D86F13" w:rsidRPr="00C5091D">
        <w:t xml:space="preserve"> of the IASR</w:t>
      </w:r>
    </w:p>
    <w:p w14:paraId="4E3A9970" w14:textId="77777777" w:rsidR="00D93028" w:rsidRPr="00C5091D" w:rsidRDefault="00D93028" w:rsidP="00791DF1">
      <w:r w:rsidRPr="00C5091D">
        <w:t>As of January 1, 2015 the followi</w:t>
      </w:r>
      <w:r w:rsidR="00426B50" w:rsidRPr="00C5091D">
        <w:t>ng standards ca</w:t>
      </w:r>
      <w:r w:rsidRPr="00C5091D">
        <w:t xml:space="preserve">me into effect: </w:t>
      </w:r>
    </w:p>
    <w:p w14:paraId="794751F5" w14:textId="77777777" w:rsidR="00D93028" w:rsidRPr="00C5091D" w:rsidRDefault="00D93028" w:rsidP="00EF7551">
      <w:pPr>
        <w:pStyle w:val="ListParagraph"/>
        <w:numPr>
          <w:ilvl w:val="0"/>
          <w:numId w:val="25"/>
        </w:numPr>
      </w:pPr>
      <w:r w:rsidRPr="00C5091D">
        <w:t>Section 12: Accessible Formats and Communication Supports</w:t>
      </w:r>
    </w:p>
    <w:p w14:paraId="275D5176" w14:textId="4FD53834" w:rsidR="00C5091D" w:rsidRDefault="00D86F13" w:rsidP="00C5091D">
      <w:pPr>
        <w:rPr>
          <w:lang w:eastAsia="en-CA"/>
        </w:rPr>
      </w:pPr>
      <w:r>
        <w:rPr>
          <w:lang w:eastAsia="en-CA"/>
        </w:rPr>
        <w:t xml:space="preserve">This </w:t>
      </w:r>
      <w:r w:rsidR="00381416">
        <w:rPr>
          <w:lang w:eastAsia="en-CA"/>
        </w:rPr>
        <w:t>requirement compels</w:t>
      </w:r>
      <w:r>
        <w:rPr>
          <w:lang w:eastAsia="en-CA"/>
        </w:rPr>
        <w:t xml:space="preserve"> the </w:t>
      </w:r>
      <w:r w:rsidR="00F31078">
        <w:rPr>
          <w:lang w:eastAsia="en-CA"/>
        </w:rPr>
        <w:t>u</w:t>
      </w:r>
      <w:r>
        <w:rPr>
          <w:lang w:eastAsia="en-CA"/>
        </w:rPr>
        <w:t xml:space="preserve">niversity </w:t>
      </w:r>
      <w:r w:rsidR="00F31078">
        <w:rPr>
          <w:lang w:eastAsia="en-CA"/>
        </w:rPr>
        <w:t xml:space="preserve">to </w:t>
      </w:r>
      <w:r>
        <w:rPr>
          <w:lang w:eastAsia="en-CA"/>
        </w:rPr>
        <w:t xml:space="preserve">provide accessible formats and communication supports, upon request. There is also the requirement to notify the public of the availability of such formats and supports. </w:t>
      </w:r>
      <w:r w:rsidR="00BA6B78">
        <w:rPr>
          <w:lang w:eastAsia="en-CA"/>
        </w:rPr>
        <w:t>Trent is well on its way to meeting this requirement</w:t>
      </w:r>
      <w:r w:rsidR="00426B50">
        <w:rPr>
          <w:lang w:eastAsia="en-CA"/>
        </w:rPr>
        <w:t xml:space="preserve"> as</w:t>
      </w:r>
      <w:r w:rsidR="00BA6B78">
        <w:rPr>
          <w:lang w:eastAsia="en-CA"/>
        </w:rPr>
        <w:t xml:space="preserve"> previous work has been done to notify members of the Trent community and the public that accessible formats and communication supports are available upon request. For example, on the bottom of many of Trent’s webpages and other public documents there is a statement regarding the availability </w:t>
      </w:r>
      <w:r w:rsidR="009028F2">
        <w:rPr>
          <w:lang w:eastAsia="en-CA"/>
        </w:rPr>
        <w:t>of accessible formats.</w:t>
      </w:r>
      <w:r w:rsidR="009028F2" w:rsidRPr="00026E33">
        <w:rPr>
          <w:color w:val="000000"/>
        </w:rPr>
        <w:t xml:space="preserve"> </w:t>
      </w:r>
      <w:r w:rsidR="009028F2">
        <w:rPr>
          <w:color w:val="000000"/>
        </w:rPr>
        <w:t>Also, C</w:t>
      </w:r>
      <w:r w:rsidR="009028F2" w:rsidRPr="00026E33">
        <w:rPr>
          <w:color w:val="000000"/>
        </w:rPr>
        <w:t xml:space="preserve">HREA developed and supported a sign campaign and the development of an electronic form field for people to make requests. </w:t>
      </w:r>
      <w:r w:rsidR="009028F2">
        <w:rPr>
          <w:lang w:eastAsia="en-CA"/>
        </w:rPr>
        <w:t>Accessible format requests can be made to CHREA in a number of ways including</w:t>
      </w:r>
      <w:r w:rsidR="00426B50">
        <w:rPr>
          <w:lang w:eastAsia="en-CA"/>
        </w:rPr>
        <w:t xml:space="preserve"> through</w:t>
      </w:r>
      <w:r w:rsidR="009028F2">
        <w:rPr>
          <w:lang w:eastAsia="en-CA"/>
        </w:rPr>
        <w:t xml:space="preserve"> </w:t>
      </w:r>
      <w:r w:rsidR="00F31078">
        <w:rPr>
          <w:lang w:eastAsia="en-CA"/>
        </w:rPr>
        <w:t>the</w:t>
      </w:r>
      <w:r w:rsidR="009028F2">
        <w:rPr>
          <w:lang w:eastAsia="en-CA"/>
        </w:rPr>
        <w:t xml:space="preserve"> use of the online Accessible Format Request Form which is available on CHREA’s website at </w:t>
      </w:r>
      <w:hyperlink r:id="rId12" w:history="1">
        <w:r w:rsidR="00705223">
          <w:rPr>
            <w:rStyle w:val="Hyperlink"/>
            <w:rFonts w:ascii="Segoe UI" w:hAnsi="Segoe UI" w:cs="Segoe UI"/>
          </w:rPr>
          <w:t>Human Rights, Equity, and Accessibility Website</w:t>
        </w:r>
      </w:hyperlink>
      <w:r w:rsidR="00C5091D">
        <w:rPr>
          <w:lang w:eastAsia="en-CA"/>
        </w:rPr>
        <w:t>.</w:t>
      </w:r>
    </w:p>
    <w:p w14:paraId="57310BB1" w14:textId="420AE419" w:rsidR="00D93028" w:rsidRPr="00C5091D" w:rsidRDefault="00D93028" w:rsidP="00EF7551">
      <w:pPr>
        <w:pStyle w:val="ListParagraph"/>
        <w:numPr>
          <w:ilvl w:val="0"/>
          <w:numId w:val="25"/>
        </w:numPr>
        <w:rPr>
          <w:lang w:eastAsia="en-CA"/>
        </w:rPr>
      </w:pPr>
      <w:r w:rsidRPr="00381416">
        <w:rPr>
          <w:lang w:eastAsia="en-CA"/>
        </w:rPr>
        <w:t xml:space="preserve">Section 17: </w:t>
      </w:r>
      <w:r w:rsidR="004E549B" w:rsidRPr="00381416">
        <w:rPr>
          <w:lang w:eastAsia="en-CA"/>
        </w:rPr>
        <w:t xml:space="preserve">Producers of Educational or Training Material </w:t>
      </w:r>
    </w:p>
    <w:p w14:paraId="6D84B29F" w14:textId="77777777" w:rsidR="00C5091D" w:rsidRDefault="00381416" w:rsidP="00C5091D">
      <w:pPr>
        <w:rPr>
          <w:lang w:eastAsia="en-CA"/>
        </w:rPr>
      </w:pPr>
      <w:r>
        <w:rPr>
          <w:lang w:eastAsia="en-CA"/>
        </w:rPr>
        <w:t xml:space="preserve">This requirement </w:t>
      </w:r>
      <w:r w:rsidR="00EA1038">
        <w:rPr>
          <w:lang w:eastAsia="en-CA"/>
        </w:rPr>
        <w:t>means that producers of educational and trai</w:t>
      </w:r>
      <w:r w:rsidR="00FB351E">
        <w:rPr>
          <w:lang w:eastAsia="en-CA"/>
        </w:rPr>
        <w:t>ning material, including universities and university presses, must supply this material in accessible formats upon request.</w:t>
      </w:r>
      <w:r w:rsidR="001D648F">
        <w:rPr>
          <w:lang w:eastAsia="en-CA"/>
        </w:rPr>
        <w:t xml:space="preserve"> In 2015, this requirement applies only to textbooks and in coming years expands to include other types of educational materials.</w:t>
      </w:r>
      <w:r w:rsidR="00FB351E">
        <w:rPr>
          <w:lang w:eastAsia="en-CA"/>
        </w:rPr>
        <w:t xml:space="preserve"> Also, if the producer is unable to supply the requested material in accessible format the university must be notified and it is the responsibility of the university to supply comparable educational materials. Several university departments including, but not limited to</w:t>
      </w:r>
      <w:r w:rsidR="00A97E99">
        <w:rPr>
          <w:lang w:eastAsia="en-CA"/>
        </w:rPr>
        <w:t>,</w:t>
      </w:r>
      <w:r w:rsidR="00FB351E">
        <w:rPr>
          <w:lang w:eastAsia="en-CA"/>
        </w:rPr>
        <w:t xml:space="preserve"> Student Accessibility Services</w:t>
      </w:r>
      <w:r w:rsidR="00592919">
        <w:rPr>
          <w:lang w:eastAsia="en-CA"/>
        </w:rPr>
        <w:t xml:space="preserve"> (SAS)</w:t>
      </w:r>
      <w:r w:rsidR="00FB351E">
        <w:rPr>
          <w:lang w:eastAsia="en-CA"/>
        </w:rPr>
        <w:t>, Print Shop and Bookstore are working together to ensure students’ requests for accessible formats are met in a timely manner. Many te</w:t>
      </w:r>
      <w:r w:rsidR="00D626B1">
        <w:rPr>
          <w:lang w:eastAsia="en-CA"/>
        </w:rPr>
        <w:t>x</w:t>
      </w:r>
      <w:r w:rsidR="00FB351E">
        <w:rPr>
          <w:lang w:eastAsia="en-CA"/>
        </w:rPr>
        <w:t>tbooks ar</w:t>
      </w:r>
      <w:r w:rsidR="00D626B1">
        <w:rPr>
          <w:lang w:eastAsia="en-CA"/>
        </w:rPr>
        <w:t xml:space="preserve">e now available in digital format through the Bookstore’s </w:t>
      </w:r>
      <w:proofErr w:type="spellStart"/>
      <w:r w:rsidR="00D626B1">
        <w:rPr>
          <w:lang w:eastAsia="en-CA"/>
        </w:rPr>
        <w:t>Brytewave</w:t>
      </w:r>
      <w:proofErr w:type="spellEnd"/>
      <w:r w:rsidR="00D626B1">
        <w:rPr>
          <w:lang w:eastAsia="en-CA"/>
        </w:rPr>
        <w:t xml:space="preserve"> program. </w:t>
      </w:r>
    </w:p>
    <w:p w14:paraId="4B6724DF" w14:textId="77777777" w:rsidR="00642EDC" w:rsidRDefault="004E549B" w:rsidP="00EF7551">
      <w:pPr>
        <w:pStyle w:val="ListParagraph"/>
        <w:numPr>
          <w:ilvl w:val="0"/>
          <w:numId w:val="25"/>
        </w:numPr>
      </w:pPr>
      <w:r w:rsidRPr="00642EDC">
        <w:t xml:space="preserve">Section 18: Libraries of Educational and Training Institutions </w:t>
      </w:r>
    </w:p>
    <w:p w14:paraId="156ADA74" w14:textId="699A2286" w:rsidR="00A047CE" w:rsidRPr="00642EDC" w:rsidRDefault="00D4462D" w:rsidP="00123E43">
      <w:r w:rsidRPr="00123E43">
        <w:t xml:space="preserve">This requirement compels </w:t>
      </w:r>
      <w:r w:rsidR="001D648F" w:rsidRPr="00123E43">
        <w:t>libraries of educational institutions to supply educational materials in accessible format</w:t>
      </w:r>
      <w:r w:rsidR="00F31078" w:rsidRPr="00123E43">
        <w:t>s</w:t>
      </w:r>
      <w:r w:rsidR="001D648F" w:rsidRPr="00123E43">
        <w:t xml:space="preserve"> upon request. In 2015, this requirement applies only </w:t>
      </w:r>
      <w:r w:rsidR="00F31078" w:rsidRPr="00123E43">
        <w:t xml:space="preserve">to </w:t>
      </w:r>
      <w:r w:rsidR="001D648F" w:rsidRPr="00123E43">
        <w:t>print-based material, but will be expanded in 2020 to include other types of materials such as digital media files. The library has complete</w:t>
      </w:r>
      <w:r w:rsidR="00915433" w:rsidRPr="00123E43">
        <w:t>d much work on this project and is currently in compliance with this requirement. Bata and Oshawa libraries are current</w:t>
      </w:r>
      <w:r w:rsidR="00A97E99" w:rsidRPr="00123E43">
        <w:t>ly</w:t>
      </w:r>
      <w:r w:rsidR="00915433" w:rsidRPr="00123E43">
        <w:t xml:space="preserve"> part of the </w:t>
      </w:r>
      <w:r w:rsidR="00B806F3" w:rsidRPr="00123E43">
        <w:t>Ontario Council of University Libraries Accessible Content E-portal (ACE)</w:t>
      </w:r>
      <w:r w:rsidR="00915433" w:rsidRPr="00123E43">
        <w:t xml:space="preserve"> which allows partner universities to </w:t>
      </w:r>
      <w:r w:rsidR="00B806F3" w:rsidRPr="00123E43">
        <w:t>provide registered students</w:t>
      </w:r>
      <w:r w:rsidR="00915433" w:rsidRPr="00123E43">
        <w:t xml:space="preserve"> access to </w:t>
      </w:r>
      <w:r w:rsidR="00B806F3" w:rsidRPr="00123E43">
        <w:t>an ever-increasing repository</w:t>
      </w:r>
      <w:r w:rsidR="00A97E99" w:rsidRPr="00123E43">
        <w:t xml:space="preserve"> of</w:t>
      </w:r>
      <w:r w:rsidR="00B806F3" w:rsidRPr="00123E43">
        <w:t xml:space="preserve"> accessible format texts. The success of ACE at Trent is attributable to </w:t>
      </w:r>
      <w:r w:rsidR="00F31078" w:rsidRPr="00123E43">
        <w:t xml:space="preserve">the </w:t>
      </w:r>
      <w:r w:rsidR="00B806F3" w:rsidRPr="00123E43">
        <w:t>ded</w:t>
      </w:r>
      <w:r w:rsidR="00592919" w:rsidRPr="00123E43">
        <w:t>ication of library staff and</w:t>
      </w:r>
      <w:r w:rsidR="00B806F3" w:rsidRPr="00123E43">
        <w:t xml:space="preserve"> departmental collaboration between the libraries and SAS</w:t>
      </w:r>
      <w:r w:rsidR="00EF7551">
        <w:rPr>
          <w:lang w:eastAsia="en-CA"/>
        </w:rPr>
        <w:t>.</w:t>
      </w:r>
    </w:p>
    <w:p w14:paraId="1038F92D" w14:textId="77777777" w:rsidR="00705223" w:rsidRPr="00165841" w:rsidRDefault="00705223" w:rsidP="00EF7551">
      <w:pPr>
        <w:pStyle w:val="Heading1"/>
      </w:pPr>
      <w:r w:rsidRPr="00EF7551">
        <w:t>Section</w:t>
      </w:r>
      <w:r w:rsidRPr="00FC47EA">
        <w:t xml:space="preserve"> </w:t>
      </w:r>
      <w:r>
        <w:t>3</w:t>
      </w:r>
    </w:p>
    <w:p w14:paraId="499E8AF4" w14:textId="77777777" w:rsidR="00705223" w:rsidRPr="00EF7551" w:rsidRDefault="00705223" w:rsidP="00EF7551">
      <w:pPr>
        <w:pStyle w:val="Heading2"/>
      </w:pPr>
      <w:r w:rsidRPr="00EF7551">
        <w:t>Fostering a Culture of Inclusivity and Beyond Compliance</w:t>
      </w:r>
    </w:p>
    <w:p w14:paraId="625116D8" w14:textId="59F13B30" w:rsidR="00A047CE" w:rsidRDefault="00F555F4" w:rsidP="00705223">
      <w:r w:rsidRPr="00FC47EA">
        <w:t>The mission of Trent University affirms its commitment to an inclusive intellectual and social community that values the contributions and col</w:t>
      </w:r>
      <w:r w:rsidR="00EF7551">
        <w:t xml:space="preserve">laboration of all its members. </w:t>
      </w:r>
      <w:r w:rsidRPr="00FC47EA">
        <w:t xml:space="preserve">To </w:t>
      </w:r>
      <w:r w:rsidRPr="00FC47EA">
        <w:lastRenderedPageBreak/>
        <w:t>promote such a culture, Trent has taken the lead on important initiatives to make education accessible to people with disabilities and to foster their active participation in the life of the university.</w:t>
      </w:r>
    </w:p>
    <w:p w14:paraId="07247E9A" w14:textId="1E19A001" w:rsidR="00791DF1" w:rsidRDefault="00791DF1" w:rsidP="00705223">
      <w:r w:rsidRPr="00FC47EA">
        <w:t>Excerpt from: Radical Recovery: An Academic Plan for Trent University (2012-2015)</w:t>
      </w:r>
    </w:p>
    <w:p w14:paraId="08487972" w14:textId="41B67049" w:rsidR="00EF7551" w:rsidRPr="00EF7551" w:rsidRDefault="00EF7551" w:rsidP="00EF7551">
      <w:pPr>
        <w:pStyle w:val="Heading3"/>
      </w:pPr>
      <w:r w:rsidRPr="00EF7551">
        <w:t>Recommendation 6: Affirm and ensure a culture of inclusivity</w:t>
      </w:r>
    </w:p>
    <w:p w14:paraId="5F67B5B9" w14:textId="77777777" w:rsidR="00EF7551" w:rsidRPr="007E219C" w:rsidRDefault="00EF7551" w:rsidP="0093094C">
      <w:r w:rsidRPr="007E219C">
        <w:t>The Committee recommends a renewed affirmation in our marketing and practices of Trent's long-standing commitment to inclusivity, tolerance, and openness to diversity in all of its forms. We envisage a proactive approach rather than merely adhering to the letter of the law (i.e., the Accessibility for Ontarians with Disabilities Act [AODA]). This would involve not only accommodating students with physical or learning challenges, but articulating clearly that Trent welcomes diversity in all of its many hues: in sexual orientations, social class, creed, ethnicity, and so on. Trent will be clear in its creation of a culture of openness by educating ourselves about innovative pedagogies, exploring the use of technologies in teaching to "invisible learning challenges" and so on. This would necessarily involve cooperation and collegial collaboration between faculty members and the Disability Services Office.</w:t>
      </w:r>
    </w:p>
    <w:p w14:paraId="1C8B700C" w14:textId="1E3938C9" w:rsidR="00F555F4" w:rsidRPr="00A047CE" w:rsidRDefault="00F555F4" w:rsidP="00A047CE">
      <w:pPr>
        <w:rPr>
          <w:lang w:eastAsia="en-CA"/>
        </w:rPr>
      </w:pPr>
    </w:p>
    <w:p w14:paraId="675BF0B2" w14:textId="114E4210" w:rsidR="00BE3B79" w:rsidRPr="00A047CE" w:rsidRDefault="00BE3B79" w:rsidP="00EF7551">
      <w:pPr>
        <w:pStyle w:val="Heading3"/>
      </w:pPr>
      <w:r w:rsidRPr="00A047CE">
        <w:t>Learning Innovations Grant</w:t>
      </w:r>
    </w:p>
    <w:p w14:paraId="1B387495" w14:textId="03D6478B" w:rsidR="005648FA" w:rsidRPr="00FC47EA" w:rsidRDefault="00A54A73" w:rsidP="00A047CE">
      <w:r w:rsidRPr="00FC47EA">
        <w:t xml:space="preserve">As in prior years, four Learning Innovation Grants (LIG) were awarded to faculty through a competition process facilitated by </w:t>
      </w:r>
      <w:r w:rsidR="005C6B26">
        <w:t>C</w:t>
      </w:r>
      <w:r w:rsidR="005C6B26" w:rsidRPr="00FC47EA">
        <w:t xml:space="preserve">HREA </w:t>
      </w:r>
      <w:r w:rsidRPr="00FC47EA">
        <w:t xml:space="preserve">and the Instructional Development Centre (IDC) Advisory Board.  </w:t>
      </w:r>
      <w:r w:rsidR="005648FA" w:rsidRPr="00FC47EA">
        <w:t>The 201</w:t>
      </w:r>
      <w:r w:rsidR="005C6B26">
        <w:t>3</w:t>
      </w:r>
      <w:r w:rsidR="005648FA" w:rsidRPr="00FC47EA">
        <w:t>–201</w:t>
      </w:r>
      <w:r w:rsidR="005C6B26">
        <w:t>4</w:t>
      </w:r>
      <w:r w:rsidR="005648FA" w:rsidRPr="00FC47EA">
        <w:t xml:space="preserve"> disbursements of the Learning Innovation Grant provided $16,000 to the four projects.  This funding opportunity </w:t>
      </w:r>
      <w:r w:rsidR="00A97E99">
        <w:t>was</w:t>
      </w:r>
      <w:r w:rsidR="005648FA" w:rsidRPr="00FC47EA">
        <w:t xml:space="preserve"> being offered to assist faculty members who wish</w:t>
      </w:r>
      <w:r w:rsidR="00A97E99">
        <w:t>ed</w:t>
      </w:r>
      <w:r w:rsidR="005648FA" w:rsidRPr="00FC47EA">
        <w:t xml:space="preserve"> to evaluate their current pedagogical practices and revamp course design and delivery to increase learner accessibility and engagement. </w:t>
      </w:r>
    </w:p>
    <w:p w14:paraId="46DB1D12" w14:textId="3D44F512" w:rsidR="005648FA" w:rsidRPr="00FC47EA" w:rsidRDefault="005648FA" w:rsidP="00A047CE">
      <w:r w:rsidRPr="00FC47EA">
        <w:t>The following projects received funding in the 201</w:t>
      </w:r>
      <w:r w:rsidR="005C6B26">
        <w:t>3</w:t>
      </w:r>
      <w:r w:rsidRPr="00FC47EA">
        <w:t>–201</w:t>
      </w:r>
      <w:r w:rsidR="005C6B26">
        <w:t>4</w:t>
      </w:r>
      <w:r w:rsidRPr="00FC47EA">
        <w:t xml:space="preserve"> allocation:</w:t>
      </w:r>
    </w:p>
    <w:p w14:paraId="4F2F629D" w14:textId="77777777" w:rsidR="00A047CE" w:rsidRDefault="005C6B26" w:rsidP="00A047CE">
      <w:pPr>
        <w:pStyle w:val="Heading3"/>
      </w:pPr>
      <w:r w:rsidRPr="00EF7551">
        <w:t>Bill Atkinson</w:t>
      </w:r>
      <w:r w:rsidR="005648FA" w:rsidRPr="00EF7551">
        <w:t xml:space="preserve"> (</w:t>
      </w:r>
      <w:r w:rsidRPr="00EF7551">
        <w:t>Physics and Astronomy</w:t>
      </w:r>
      <w:r w:rsidR="005648FA" w:rsidRPr="00FC47EA">
        <w:t xml:space="preserve">): </w:t>
      </w:r>
    </w:p>
    <w:p w14:paraId="3DB826E6" w14:textId="77777777" w:rsidR="00A047CE" w:rsidRDefault="005648FA" w:rsidP="00EF7551">
      <w:pPr>
        <w:spacing w:after="240"/>
      </w:pPr>
      <w:r w:rsidRPr="00FC47EA">
        <w:t xml:space="preserve">$4,000 to </w:t>
      </w:r>
      <w:r w:rsidR="005C6B26" w:rsidRPr="005C6B26">
        <w:t>develop an online course module that introduces students to computers as a tool for exploring important physical systems that cannot be understood using traditional paper and pen approaches. The online course will walk students through the basic programming concepts. The modules will consist of a series of short lessons, followed by simple problems that the students will be required to solve before moving onto the next lesson. At the end of the online course, students will be comfortable with the simple technical aspects of programming required for the Computational Physics course. The online course will be developed independent of Computational Physics so that students may revisit the lessons throughout their undergraduate careers, as the need arises.</w:t>
      </w:r>
    </w:p>
    <w:p w14:paraId="626B881D" w14:textId="77777777" w:rsidR="00EF7551" w:rsidRDefault="005C6B26" w:rsidP="00A047CE">
      <w:pPr>
        <w:rPr>
          <w:rFonts w:ascii="Segoe UI" w:hAnsi="Segoe UI" w:cs="Segoe UI"/>
          <w:lang w:eastAsia="en-CA"/>
        </w:rPr>
      </w:pPr>
      <w:proofErr w:type="spellStart"/>
      <w:r w:rsidRPr="00EF7551">
        <w:rPr>
          <w:rStyle w:val="Heading3Char"/>
        </w:rPr>
        <w:t>Kateryna</w:t>
      </w:r>
      <w:proofErr w:type="spellEnd"/>
      <w:r w:rsidRPr="00EF7551">
        <w:rPr>
          <w:rStyle w:val="Heading3Char"/>
        </w:rPr>
        <w:t xml:space="preserve"> Keefer (Psychology</w:t>
      </w:r>
      <w:r w:rsidR="005648FA" w:rsidRPr="00EF7551">
        <w:rPr>
          <w:rStyle w:val="Heading3Char"/>
        </w:rPr>
        <w:t>)</w:t>
      </w:r>
      <w:r w:rsidRPr="00EF7551">
        <w:rPr>
          <w:rStyle w:val="Heading3Char"/>
        </w:rPr>
        <w:t xml:space="preserve"> and Sarah Keefer (English Literature</w:t>
      </w:r>
      <w:r w:rsidRPr="00A047CE">
        <w:rPr>
          <w:rStyle w:val="Heading3Char"/>
        </w:rPr>
        <w:t>)</w:t>
      </w:r>
      <w:r w:rsidR="005648FA" w:rsidRPr="00A047CE">
        <w:rPr>
          <w:rStyle w:val="Heading3Char"/>
        </w:rPr>
        <w:t>:</w:t>
      </w:r>
      <w:r w:rsidR="005648FA" w:rsidRPr="00FC47EA">
        <w:rPr>
          <w:rFonts w:ascii="Segoe UI" w:hAnsi="Segoe UI" w:cs="Segoe UI"/>
          <w:lang w:eastAsia="en-CA"/>
        </w:rPr>
        <w:t xml:space="preserve"> </w:t>
      </w:r>
    </w:p>
    <w:p w14:paraId="79B6388B" w14:textId="305906ED" w:rsidR="00A047CE" w:rsidRDefault="005648FA" w:rsidP="00EF7551">
      <w:pPr>
        <w:spacing w:after="240"/>
      </w:pPr>
      <w:r w:rsidRPr="00A047CE">
        <w:t xml:space="preserve">$4,000 </w:t>
      </w:r>
      <w:r w:rsidR="005C6B26" w:rsidRPr="00A047CE">
        <w:t xml:space="preserve">to conduct a program-evaluation study of collaborative enquiry-based learning activities in ENGL 3100Y and PSYC 2300H. At the end of term, students will be invited to complete an opinion survey about their experiences with the enquiry-based learning exercises and their perceived benefits and drawbacks, alongside measures of academic self-efficacy, critical thinking dispositions, learning style preferences, and prior academic experiences. In addition, students’ inquiry notes and peer reviews will be </w:t>
      </w:r>
      <w:proofErr w:type="spellStart"/>
      <w:r w:rsidR="005C6B26" w:rsidRPr="00A047CE">
        <w:t>analysed</w:t>
      </w:r>
      <w:proofErr w:type="spellEnd"/>
      <w:r w:rsidR="005C6B26" w:rsidRPr="00A047CE">
        <w:t xml:space="preserve"> for key themes and skills, to create a dynamic map of students’ learning progress over time.</w:t>
      </w:r>
    </w:p>
    <w:p w14:paraId="79BF122D" w14:textId="77777777" w:rsidR="00EF7551" w:rsidRDefault="005C6B26" w:rsidP="00A047CE">
      <w:pPr>
        <w:rPr>
          <w:bCs/>
        </w:rPr>
      </w:pPr>
      <w:proofErr w:type="spellStart"/>
      <w:r w:rsidRPr="00A047CE">
        <w:rPr>
          <w:rStyle w:val="Heading3Char"/>
        </w:rPr>
        <w:lastRenderedPageBreak/>
        <w:t>Medhi</w:t>
      </w:r>
      <w:proofErr w:type="spellEnd"/>
      <w:r w:rsidRPr="00A047CE">
        <w:rPr>
          <w:rStyle w:val="Heading3Char"/>
        </w:rPr>
        <w:t xml:space="preserve"> </w:t>
      </w:r>
      <w:proofErr w:type="spellStart"/>
      <w:r w:rsidRPr="00A047CE">
        <w:rPr>
          <w:rStyle w:val="Heading3Char"/>
        </w:rPr>
        <w:t>Sharifi</w:t>
      </w:r>
      <w:proofErr w:type="spellEnd"/>
      <w:r w:rsidRPr="00A047CE">
        <w:rPr>
          <w:rStyle w:val="Heading3Char"/>
        </w:rPr>
        <w:t xml:space="preserve"> (Environmental and Resource Studies)</w:t>
      </w:r>
      <w:r w:rsidR="00A047CE" w:rsidRPr="00A047CE">
        <w:rPr>
          <w:rStyle w:val="Heading3Char"/>
        </w:rPr>
        <w:t>:</w:t>
      </w:r>
      <w:r w:rsidR="005648FA" w:rsidRPr="00FC47EA">
        <w:rPr>
          <w:bCs/>
        </w:rPr>
        <w:t xml:space="preserve"> </w:t>
      </w:r>
    </w:p>
    <w:p w14:paraId="5377BD40" w14:textId="51F33181" w:rsidR="00A047CE" w:rsidRDefault="005648FA" w:rsidP="00EF7551">
      <w:pPr>
        <w:spacing w:after="240"/>
      </w:pPr>
      <w:r w:rsidRPr="00FC47EA">
        <w:t>$4,000 to</w:t>
      </w:r>
      <w:r w:rsidR="00A11E0C" w:rsidRPr="00A11E0C">
        <w:t xml:space="preserve"> implement the creation of three virtual laboratories used as direct support for the teaching material in lectures for the Introduction to Sustainable Agriculture course. In addition to the added virtual labs to the course, a mini-poster session will be designed to showcase what students have learned and the dynamics of sustainable agriculture.</w:t>
      </w:r>
    </w:p>
    <w:p w14:paraId="1B534848" w14:textId="727FDE2F" w:rsidR="00EF7551" w:rsidRPr="00EF7551" w:rsidRDefault="00EF7551" w:rsidP="00EF7551">
      <w:pPr>
        <w:pStyle w:val="Heading3"/>
      </w:pPr>
      <w:r>
        <w:rPr>
          <w:rStyle w:val="Heading3Char"/>
          <w:b/>
        </w:rPr>
        <w:t xml:space="preserve">Andrew </w:t>
      </w:r>
      <w:proofErr w:type="spellStart"/>
      <w:r>
        <w:rPr>
          <w:rStyle w:val="Heading3Char"/>
          <w:b/>
        </w:rPr>
        <w:t>Vreugdenhil</w:t>
      </w:r>
      <w:proofErr w:type="spellEnd"/>
      <w:r>
        <w:rPr>
          <w:rStyle w:val="Heading3Char"/>
          <w:b/>
        </w:rPr>
        <w:t xml:space="preserve"> </w:t>
      </w:r>
      <w:r w:rsidR="005C6B26" w:rsidRPr="00EF7551">
        <w:rPr>
          <w:rStyle w:val="Heading3Char"/>
          <w:b/>
        </w:rPr>
        <w:t>(</w:t>
      </w:r>
      <w:r w:rsidR="005648FA" w:rsidRPr="00EF7551">
        <w:rPr>
          <w:rStyle w:val="Heading3Char"/>
          <w:b/>
        </w:rPr>
        <w:t>Chemistry):</w:t>
      </w:r>
      <w:r w:rsidR="005648FA" w:rsidRPr="00EF7551">
        <w:t xml:space="preserve"> </w:t>
      </w:r>
    </w:p>
    <w:p w14:paraId="1FB63422" w14:textId="5939D954" w:rsidR="005648FA" w:rsidRPr="00A047CE" w:rsidRDefault="005648FA" w:rsidP="00A047CE">
      <w:r w:rsidRPr="00A047CE">
        <w:t>$4,000 to</w:t>
      </w:r>
      <w:r w:rsidR="00A11E0C" w:rsidRPr="00A047CE">
        <w:t xml:space="preserve"> develop, implement and evaluate </w:t>
      </w:r>
      <w:r w:rsidR="00F31078" w:rsidRPr="00A047CE">
        <w:t xml:space="preserve">an </w:t>
      </w:r>
      <w:r w:rsidR="00A11E0C" w:rsidRPr="00A047CE">
        <w:t>open inquiry laboratory experiment in introductory chemistry. Students will be surveyed for their experiences around learning outcomes for the open inquiry laboratory experiment and the results will be contrasted with student experiences in the regular academic semester where a traditional expository has been used.</w:t>
      </w:r>
    </w:p>
    <w:p w14:paraId="65D30F29" w14:textId="666FF917" w:rsidR="00A54A73" w:rsidRPr="00FC47EA" w:rsidRDefault="00BE3B79" w:rsidP="0093094C">
      <w:pPr>
        <w:pStyle w:val="Heading3"/>
      </w:pPr>
      <w:r>
        <w:t>T</w:t>
      </w:r>
      <w:r w:rsidR="00A54A73" w:rsidRPr="00FC47EA">
        <w:t>he MV1</w:t>
      </w:r>
    </w:p>
    <w:p w14:paraId="26260292" w14:textId="77777777" w:rsidR="00705223" w:rsidRDefault="00A54A73" w:rsidP="00A047CE">
      <w:r w:rsidRPr="00FC47EA">
        <w:t xml:space="preserve">Trent’s commitment to accessibility </w:t>
      </w:r>
      <w:r w:rsidR="008D2DDC">
        <w:t>has been</w:t>
      </w:r>
      <w:r w:rsidRPr="00FC47EA">
        <w:t xml:space="preserve"> demonstrated with the successful addition </w:t>
      </w:r>
      <w:r w:rsidR="00A97E99">
        <w:t>of</w:t>
      </w:r>
      <w:r w:rsidR="00A97E99" w:rsidRPr="00FC47EA">
        <w:t xml:space="preserve"> </w:t>
      </w:r>
      <w:r w:rsidRPr="00FC47EA">
        <w:t xml:space="preserve">the first ever MV-1 campus shuttle - Canada's First Accessible Vehicle.  Our MV-1 is an accessible transportation solution that is </w:t>
      </w:r>
      <w:r w:rsidR="00A86613" w:rsidRPr="00FC47EA">
        <w:t xml:space="preserve">providing a direct service that addresses the physical accessibility barriers present </w:t>
      </w:r>
      <w:r w:rsidR="002B563C">
        <w:t>on and between Peterborough campuses</w:t>
      </w:r>
      <w:r w:rsidR="00A86613" w:rsidRPr="00FC47EA">
        <w:t xml:space="preserve">.  </w:t>
      </w:r>
    </w:p>
    <w:p w14:paraId="732AC96B" w14:textId="77777777" w:rsidR="00705223" w:rsidRDefault="008D2DDC" w:rsidP="00A047CE">
      <w:r>
        <w:t xml:space="preserve">The MV-1 Shuttle has been in full operation since October 2013. During this period the MV-1 has served as a key means of transportation for many students with both permanent and temporary disabilities as well as </w:t>
      </w:r>
      <w:r w:rsidR="00832CD4">
        <w:t xml:space="preserve">staff and visitors who have been on campus for conferences and events. The MV-1 has participated in a number of community events including the 2013 Peterborough and Oshawa Santa Claus Parades and the 2013 Easter Seals Telethon. </w:t>
      </w:r>
    </w:p>
    <w:p w14:paraId="5082F203" w14:textId="77777777" w:rsidR="00705223" w:rsidRDefault="00832CD4" w:rsidP="00705223">
      <w:r>
        <w:t xml:space="preserve">Since the beginning of the 2014-15 academic year, use </w:t>
      </w:r>
      <w:r w:rsidR="00C33F35">
        <w:t xml:space="preserve">of the MV-1 has dramatically increased and on any given day the </w:t>
      </w:r>
      <w:r w:rsidR="00525422">
        <w:t xml:space="preserve">vehicle makes eight (8) to </w:t>
      </w:r>
      <w:r w:rsidR="00F31078">
        <w:t>twelve (</w:t>
      </w:r>
      <w:r w:rsidR="00525422">
        <w:t>12</w:t>
      </w:r>
      <w:r w:rsidR="00F31078">
        <w:t>)</w:t>
      </w:r>
      <w:r w:rsidR="00525422">
        <w:t xml:space="preserve"> shuttle trips between buildings on Symons Campus and between Symons and </w:t>
      </w:r>
      <w:proofErr w:type="spellStart"/>
      <w:r w:rsidR="00525422">
        <w:t>Traill</w:t>
      </w:r>
      <w:proofErr w:type="spellEnd"/>
      <w:r w:rsidR="00525422">
        <w:t xml:space="preserve"> Campuses and the Water Street student housing. </w:t>
      </w:r>
    </w:p>
    <w:p w14:paraId="129F2E29" w14:textId="77777777" w:rsidR="00705223" w:rsidRDefault="00F203D6" w:rsidP="0093094C">
      <w:pPr>
        <w:pStyle w:val="Heading3"/>
      </w:pPr>
      <w:r w:rsidRPr="00FC47EA">
        <w:t>Valuing Diversity and Inclusivity Presentations:</w:t>
      </w:r>
    </w:p>
    <w:p w14:paraId="4D225327" w14:textId="77777777" w:rsidR="0093094C" w:rsidRDefault="00F203D6" w:rsidP="0093094C">
      <w:pPr>
        <w:spacing w:after="240"/>
      </w:pPr>
      <w:r w:rsidRPr="00FC47EA">
        <w:t xml:space="preserve">The </w:t>
      </w:r>
      <w:r w:rsidR="00525422">
        <w:t>Centre for</w:t>
      </w:r>
      <w:r w:rsidRPr="00FC47EA">
        <w:t xml:space="preserve"> Human Rights, Equity and Accessibility hosted several information sessions through various partnerships at Trent.  </w:t>
      </w:r>
      <w:r w:rsidR="00F555F4" w:rsidRPr="00FC47EA">
        <w:t xml:space="preserve">The </w:t>
      </w:r>
      <w:r w:rsidR="00525422">
        <w:t>C</w:t>
      </w:r>
      <w:r w:rsidRPr="00FC47EA">
        <w:t xml:space="preserve">HREA worked </w:t>
      </w:r>
      <w:r w:rsidR="008763CA">
        <w:t xml:space="preserve">with </w:t>
      </w:r>
      <w:r w:rsidRPr="00FC47EA">
        <w:t xml:space="preserve">our Human Resource Department, IMPACT, and the Student Support Certificate to facilitate sessions on the topic of Human Rights, valuing diversity and best practices for inclusivity.  </w:t>
      </w:r>
    </w:p>
    <w:p w14:paraId="4C17A897" w14:textId="184FEC20" w:rsidR="00AE71F3" w:rsidRPr="00705223" w:rsidRDefault="0093094C" w:rsidP="0093094C">
      <w:r>
        <w:rPr>
          <w:rFonts w:ascii="Segoe UI" w:hAnsi="Segoe UI" w:cs="Segoe UI"/>
        </w:rPr>
        <w:t>For ad</w:t>
      </w:r>
      <w:r w:rsidR="00AE71F3">
        <w:rPr>
          <w:rFonts w:ascii="Segoe UI" w:hAnsi="Segoe UI" w:cs="Segoe UI"/>
        </w:rPr>
        <w:t>ditional information or if you require an accessible version of this repor</w:t>
      </w:r>
      <w:r w:rsidR="00EF48C0">
        <w:rPr>
          <w:rFonts w:ascii="Segoe UI" w:hAnsi="Segoe UI" w:cs="Segoe UI"/>
        </w:rPr>
        <w:t xml:space="preserve">t </w:t>
      </w:r>
      <w:r w:rsidR="00AE71F3">
        <w:rPr>
          <w:rFonts w:ascii="Segoe UI" w:hAnsi="Segoe UI" w:cs="Segoe UI"/>
        </w:rPr>
        <w:t xml:space="preserve"> </w:t>
      </w:r>
    </w:p>
    <w:p w14:paraId="110BE9FE" w14:textId="77777777" w:rsidR="0093094C" w:rsidRDefault="00AE71F3" w:rsidP="0093094C">
      <w:pPr>
        <w:autoSpaceDE w:val="0"/>
        <w:autoSpaceDN w:val="0"/>
        <w:adjustRightInd w:val="0"/>
        <w:spacing w:after="240"/>
        <w:rPr>
          <w:rFonts w:ascii="Segoe UI" w:hAnsi="Segoe UI" w:cs="Segoe UI"/>
        </w:rPr>
      </w:pPr>
      <w:proofErr w:type="gramStart"/>
      <w:r>
        <w:rPr>
          <w:rFonts w:ascii="Segoe UI" w:hAnsi="Segoe UI" w:cs="Segoe UI"/>
        </w:rPr>
        <w:t>please</w:t>
      </w:r>
      <w:proofErr w:type="gramEnd"/>
      <w:r>
        <w:rPr>
          <w:rFonts w:ascii="Segoe UI" w:hAnsi="Segoe UI" w:cs="Segoe UI"/>
        </w:rPr>
        <w:t xml:space="preserve"> contact: </w:t>
      </w:r>
    </w:p>
    <w:p w14:paraId="50DB9825" w14:textId="5838AB2E" w:rsidR="00AE71F3" w:rsidRDefault="008D2DDC" w:rsidP="0093094C">
      <w:pPr>
        <w:autoSpaceDE w:val="0"/>
        <w:autoSpaceDN w:val="0"/>
        <w:adjustRightInd w:val="0"/>
        <w:rPr>
          <w:rFonts w:ascii="Segoe UI" w:hAnsi="Segoe UI" w:cs="Segoe UI"/>
        </w:rPr>
      </w:pPr>
      <w:r>
        <w:rPr>
          <w:rFonts w:ascii="Segoe UI" w:hAnsi="Segoe UI" w:cs="Segoe UI"/>
        </w:rPr>
        <w:t>Andrea Walsh, OT Reg. (Ont.)</w:t>
      </w:r>
    </w:p>
    <w:p w14:paraId="13689770" w14:textId="732654B0" w:rsidR="00AE71F3" w:rsidRDefault="00F31078" w:rsidP="0093094C">
      <w:pPr>
        <w:autoSpaceDE w:val="0"/>
        <w:autoSpaceDN w:val="0"/>
        <w:adjustRightInd w:val="0"/>
        <w:rPr>
          <w:rFonts w:ascii="Segoe UI" w:hAnsi="Segoe UI" w:cs="Segoe UI"/>
        </w:rPr>
      </w:pPr>
      <w:r>
        <w:rPr>
          <w:rFonts w:ascii="Segoe UI" w:hAnsi="Segoe UI" w:cs="Segoe UI"/>
        </w:rPr>
        <w:t>Centre for</w:t>
      </w:r>
      <w:r w:rsidR="00AE71F3">
        <w:rPr>
          <w:rFonts w:ascii="Segoe UI" w:hAnsi="Segoe UI" w:cs="Segoe UI"/>
        </w:rPr>
        <w:t xml:space="preserve"> Human Rights, Equity and Accessibility</w:t>
      </w:r>
    </w:p>
    <w:p w14:paraId="2E866EEB" w14:textId="77777777" w:rsidR="00AE71F3" w:rsidRPr="00FC47EA" w:rsidRDefault="00AE71F3" w:rsidP="0093094C">
      <w:pPr>
        <w:autoSpaceDE w:val="0"/>
        <w:autoSpaceDN w:val="0"/>
        <w:adjustRightInd w:val="0"/>
        <w:rPr>
          <w:rFonts w:ascii="Segoe UI" w:hAnsi="Segoe UI" w:cs="Segoe UI"/>
          <w:lang w:val="fr-CA"/>
        </w:rPr>
      </w:pPr>
      <w:r w:rsidRPr="00FC47EA">
        <w:rPr>
          <w:rFonts w:ascii="Segoe UI" w:hAnsi="Segoe UI" w:cs="Segoe UI"/>
          <w:lang w:val="fr-CA"/>
        </w:rPr>
        <w:t xml:space="preserve">Trent </w:t>
      </w:r>
      <w:proofErr w:type="spellStart"/>
      <w:r w:rsidRPr="00FC47EA">
        <w:rPr>
          <w:rFonts w:ascii="Segoe UI" w:hAnsi="Segoe UI" w:cs="Segoe UI"/>
          <w:lang w:val="fr-CA"/>
        </w:rPr>
        <w:t>University</w:t>
      </w:r>
      <w:proofErr w:type="spellEnd"/>
    </w:p>
    <w:p w14:paraId="7659EEEE" w14:textId="77777777" w:rsidR="00AE71F3" w:rsidRPr="00FC47EA" w:rsidRDefault="00AE71F3" w:rsidP="0093094C">
      <w:pPr>
        <w:autoSpaceDE w:val="0"/>
        <w:autoSpaceDN w:val="0"/>
        <w:adjustRightInd w:val="0"/>
        <w:rPr>
          <w:rFonts w:ascii="Segoe UI" w:hAnsi="Segoe UI" w:cs="Segoe UI"/>
          <w:lang w:val="fr-CA"/>
        </w:rPr>
      </w:pPr>
      <w:r w:rsidRPr="00FC47EA">
        <w:rPr>
          <w:rFonts w:ascii="Segoe UI" w:hAnsi="Segoe UI" w:cs="Segoe UI"/>
          <w:lang w:val="fr-CA"/>
        </w:rPr>
        <w:t>OC 121</w:t>
      </w:r>
    </w:p>
    <w:p w14:paraId="73301E30" w14:textId="2E1D7F27" w:rsidR="00AE71F3" w:rsidRPr="00FC47EA" w:rsidRDefault="006B64BA" w:rsidP="0093094C">
      <w:pPr>
        <w:autoSpaceDE w:val="0"/>
        <w:autoSpaceDN w:val="0"/>
        <w:adjustRightInd w:val="0"/>
        <w:rPr>
          <w:rFonts w:ascii="Segoe UI" w:hAnsi="Segoe UI" w:cs="Segoe UI"/>
          <w:lang w:val="fr-CA"/>
        </w:rPr>
      </w:pPr>
      <w:hyperlink r:id="rId13" w:history="1">
        <w:r w:rsidR="008D2DDC">
          <w:rPr>
            <w:rStyle w:val="Hyperlink"/>
            <w:rFonts w:ascii="Segoe UI" w:hAnsi="Segoe UI" w:cs="Segoe UI"/>
            <w:lang w:val="fr-CA"/>
          </w:rPr>
          <w:t>awalsh@trentu.ca</w:t>
        </w:r>
      </w:hyperlink>
    </w:p>
    <w:p w14:paraId="18030FDA" w14:textId="30B95677" w:rsidR="00AE71F3" w:rsidRPr="00FC47EA" w:rsidRDefault="00AE71F3" w:rsidP="0093094C">
      <w:pPr>
        <w:autoSpaceDE w:val="0"/>
        <w:autoSpaceDN w:val="0"/>
        <w:adjustRightInd w:val="0"/>
        <w:rPr>
          <w:rFonts w:ascii="Segoe UI" w:hAnsi="Segoe UI" w:cs="Segoe UI"/>
          <w:lang w:val="fr-CA"/>
        </w:rPr>
      </w:pPr>
      <w:r w:rsidRPr="00FC47EA">
        <w:rPr>
          <w:rFonts w:ascii="Segoe UI" w:hAnsi="Segoe UI" w:cs="Segoe UI"/>
          <w:lang w:val="fr-CA"/>
        </w:rPr>
        <w:t>705-748-1011 Ex</w:t>
      </w:r>
      <w:r w:rsidR="00EC317F">
        <w:rPr>
          <w:rFonts w:ascii="Segoe UI" w:hAnsi="Segoe UI" w:cs="Segoe UI"/>
          <w:lang w:val="fr-CA"/>
        </w:rPr>
        <w:t>t</w:t>
      </w:r>
      <w:r w:rsidRPr="00FC47EA">
        <w:rPr>
          <w:rFonts w:ascii="Segoe UI" w:hAnsi="Segoe UI" w:cs="Segoe UI"/>
          <w:lang w:val="fr-CA"/>
        </w:rPr>
        <w:t xml:space="preserve">. </w:t>
      </w:r>
      <w:r w:rsidR="008D2DDC">
        <w:rPr>
          <w:rFonts w:ascii="Segoe UI" w:hAnsi="Segoe UI" w:cs="Segoe UI"/>
          <w:lang w:val="fr-CA"/>
        </w:rPr>
        <w:t>6602</w:t>
      </w:r>
      <w:r>
        <w:rPr>
          <w:rFonts w:ascii="Segoe UI" w:hAnsi="Segoe UI" w:cs="Segoe UI"/>
          <w:lang w:val="fr-CA"/>
        </w:rPr>
        <w:t xml:space="preserve"> </w:t>
      </w:r>
    </w:p>
    <w:sectPr w:rsidR="00AE71F3" w:rsidRPr="00FC47EA" w:rsidSect="002B6F8B">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640BA" w14:textId="77777777" w:rsidR="008F2B47" w:rsidRDefault="008F2B47" w:rsidP="0052735F">
      <w:r>
        <w:separator/>
      </w:r>
    </w:p>
  </w:endnote>
  <w:endnote w:type="continuationSeparator" w:id="0">
    <w:p w14:paraId="24A2B71F" w14:textId="77777777" w:rsidR="008F2B47" w:rsidRDefault="008F2B47" w:rsidP="0052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679820"/>
      <w:docPartObj>
        <w:docPartGallery w:val="Page Numbers (Bottom of Page)"/>
        <w:docPartUnique/>
      </w:docPartObj>
    </w:sdtPr>
    <w:sdtEndPr>
      <w:rPr>
        <w:noProof/>
      </w:rPr>
    </w:sdtEndPr>
    <w:sdtContent>
      <w:p w14:paraId="7CA71114" w14:textId="602DD0BD" w:rsidR="005D1A93" w:rsidRDefault="005D1A93">
        <w:pPr>
          <w:pStyle w:val="Footer"/>
          <w:jc w:val="right"/>
        </w:pPr>
        <w:r>
          <w:fldChar w:fldCharType="begin"/>
        </w:r>
        <w:r>
          <w:instrText xml:space="preserve"> PAGE   \* MERGEFORMAT </w:instrText>
        </w:r>
        <w:r>
          <w:fldChar w:fldCharType="separate"/>
        </w:r>
        <w:r w:rsidR="006B64BA">
          <w:rPr>
            <w:noProof/>
          </w:rPr>
          <w:t>1</w:t>
        </w:r>
        <w:r>
          <w:rPr>
            <w:noProof/>
          </w:rPr>
          <w:fldChar w:fldCharType="end"/>
        </w:r>
      </w:p>
    </w:sdtContent>
  </w:sdt>
  <w:p w14:paraId="304726ED" w14:textId="77777777" w:rsidR="005D1A93" w:rsidRDefault="005D1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CC7D8" w14:textId="77777777" w:rsidR="008F2B47" w:rsidRDefault="008F2B47" w:rsidP="0052735F">
      <w:r>
        <w:separator/>
      </w:r>
    </w:p>
  </w:footnote>
  <w:footnote w:type="continuationSeparator" w:id="0">
    <w:p w14:paraId="6687DF1D" w14:textId="77777777" w:rsidR="008F2B47" w:rsidRDefault="008F2B47" w:rsidP="00527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31B76" w14:textId="77777777" w:rsidR="005D1A93" w:rsidRDefault="005D1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7C"/>
    <w:multiLevelType w:val="singleLevel"/>
    <w:tmpl w:val="0C78C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8277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F0A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B239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B03F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A7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9819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949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96A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C6C3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61DEA"/>
    <w:multiLevelType w:val="hybridMultilevel"/>
    <w:tmpl w:val="A8D2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46A25"/>
    <w:multiLevelType w:val="hybridMultilevel"/>
    <w:tmpl w:val="D160F50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297C3101"/>
    <w:multiLevelType w:val="hybridMultilevel"/>
    <w:tmpl w:val="6AA6001A"/>
    <w:lvl w:ilvl="0" w:tplc="8E88948A">
      <w:start w:val="1"/>
      <w:numFmt w:val="bullet"/>
      <w:lvlText w:val=""/>
      <w:lvlPicBulletId w:val="0"/>
      <w:lvlJc w:val="left"/>
      <w:pPr>
        <w:tabs>
          <w:tab w:val="num" w:pos="780"/>
        </w:tabs>
        <w:ind w:left="780" w:hanging="360"/>
      </w:pPr>
      <w:rPr>
        <w:rFonts w:ascii="Symbol" w:hAnsi="Symbol"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947AA3"/>
    <w:multiLevelType w:val="hybridMultilevel"/>
    <w:tmpl w:val="40A439D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45342753"/>
    <w:multiLevelType w:val="hybridMultilevel"/>
    <w:tmpl w:val="4198AE4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A473B94"/>
    <w:multiLevelType w:val="hybridMultilevel"/>
    <w:tmpl w:val="DB70E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0E5B9F"/>
    <w:multiLevelType w:val="hybridMultilevel"/>
    <w:tmpl w:val="3A66C94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50952545"/>
    <w:multiLevelType w:val="hybridMultilevel"/>
    <w:tmpl w:val="107CE8CA"/>
    <w:lvl w:ilvl="0" w:tplc="CFF8F3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64F91"/>
    <w:multiLevelType w:val="hybridMultilevel"/>
    <w:tmpl w:val="8752C17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15:restartNumberingAfterBreak="0">
    <w:nsid w:val="563868CC"/>
    <w:multiLevelType w:val="hybridMultilevel"/>
    <w:tmpl w:val="3E4EC7B0"/>
    <w:lvl w:ilvl="0" w:tplc="8E88948A">
      <w:start w:val="1"/>
      <w:numFmt w:val="bullet"/>
      <w:lvlText w:val=""/>
      <w:lvlPicBulletId w:val="0"/>
      <w:lvlJc w:val="left"/>
      <w:pPr>
        <w:tabs>
          <w:tab w:val="num" w:pos="780"/>
        </w:tabs>
        <w:ind w:left="780" w:hanging="360"/>
      </w:pPr>
      <w:rPr>
        <w:rFonts w:ascii="Symbol" w:hAnsi="Symbol"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8F31CC7"/>
    <w:multiLevelType w:val="hybridMultilevel"/>
    <w:tmpl w:val="678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2F41F5"/>
    <w:multiLevelType w:val="hybridMultilevel"/>
    <w:tmpl w:val="2B6AC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E62D68"/>
    <w:multiLevelType w:val="hybridMultilevel"/>
    <w:tmpl w:val="CF4C1B34"/>
    <w:lvl w:ilvl="0" w:tplc="D08ADAB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0A73BC"/>
    <w:multiLevelType w:val="hybridMultilevel"/>
    <w:tmpl w:val="7F3EF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60444EA"/>
    <w:multiLevelType w:val="hybridMultilevel"/>
    <w:tmpl w:val="AD96EC1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16"/>
  </w:num>
  <w:num w:numId="3">
    <w:abstractNumId w:val="11"/>
  </w:num>
  <w:num w:numId="4">
    <w:abstractNumId w:val="13"/>
  </w:num>
  <w:num w:numId="5">
    <w:abstractNumId w:val="15"/>
  </w:num>
  <w:num w:numId="6">
    <w:abstractNumId w:val="23"/>
  </w:num>
  <w:num w:numId="7">
    <w:abstractNumId w:val="12"/>
  </w:num>
  <w:num w:numId="8">
    <w:abstractNumId w:val="19"/>
  </w:num>
  <w:num w:numId="9">
    <w:abstractNumId w:val="21"/>
  </w:num>
  <w:num w:numId="10">
    <w:abstractNumId w:val="10"/>
  </w:num>
  <w:num w:numId="11">
    <w:abstractNumId w:val="20"/>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17"/>
  </w:num>
  <w:num w:numId="23">
    <w:abstractNumId w:val="0"/>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1A"/>
    <w:rsid w:val="0000008F"/>
    <w:rsid w:val="0002471A"/>
    <w:rsid w:val="000414F3"/>
    <w:rsid w:val="00067216"/>
    <w:rsid w:val="0008792A"/>
    <w:rsid w:val="0009129B"/>
    <w:rsid w:val="000C114E"/>
    <w:rsid w:val="000D0E82"/>
    <w:rsid w:val="000D4FE6"/>
    <w:rsid w:val="00104DAC"/>
    <w:rsid w:val="00123E43"/>
    <w:rsid w:val="0013495D"/>
    <w:rsid w:val="00161EB8"/>
    <w:rsid w:val="00165841"/>
    <w:rsid w:val="0016727A"/>
    <w:rsid w:val="00167B91"/>
    <w:rsid w:val="00173C79"/>
    <w:rsid w:val="00197FB7"/>
    <w:rsid w:val="001B43F3"/>
    <w:rsid w:val="001C6E3B"/>
    <w:rsid w:val="001D3F36"/>
    <w:rsid w:val="001D648F"/>
    <w:rsid w:val="00203298"/>
    <w:rsid w:val="002213DA"/>
    <w:rsid w:val="002465EF"/>
    <w:rsid w:val="00246C3A"/>
    <w:rsid w:val="00267ABA"/>
    <w:rsid w:val="0028317C"/>
    <w:rsid w:val="00297C98"/>
    <w:rsid w:val="002A0167"/>
    <w:rsid w:val="002A1A4D"/>
    <w:rsid w:val="002B563C"/>
    <w:rsid w:val="002B6F8B"/>
    <w:rsid w:val="002C0240"/>
    <w:rsid w:val="002C472D"/>
    <w:rsid w:val="002D3CA5"/>
    <w:rsid w:val="00300146"/>
    <w:rsid w:val="00332D8D"/>
    <w:rsid w:val="00381416"/>
    <w:rsid w:val="003A5509"/>
    <w:rsid w:val="003B3686"/>
    <w:rsid w:val="00401335"/>
    <w:rsid w:val="00401B75"/>
    <w:rsid w:val="00425587"/>
    <w:rsid w:val="00426B50"/>
    <w:rsid w:val="00432BF7"/>
    <w:rsid w:val="00457B58"/>
    <w:rsid w:val="004A6BF1"/>
    <w:rsid w:val="004B072B"/>
    <w:rsid w:val="004C5F0F"/>
    <w:rsid w:val="004E549B"/>
    <w:rsid w:val="004E740E"/>
    <w:rsid w:val="004F033F"/>
    <w:rsid w:val="004F492C"/>
    <w:rsid w:val="00501515"/>
    <w:rsid w:val="00520D15"/>
    <w:rsid w:val="00525422"/>
    <w:rsid w:val="0052735F"/>
    <w:rsid w:val="00541CB4"/>
    <w:rsid w:val="00545F7A"/>
    <w:rsid w:val="005561C2"/>
    <w:rsid w:val="0055758C"/>
    <w:rsid w:val="005648FA"/>
    <w:rsid w:val="00586B67"/>
    <w:rsid w:val="00592919"/>
    <w:rsid w:val="005C6B26"/>
    <w:rsid w:val="005D1A93"/>
    <w:rsid w:val="005D4530"/>
    <w:rsid w:val="005E326D"/>
    <w:rsid w:val="005F10C7"/>
    <w:rsid w:val="005F5E38"/>
    <w:rsid w:val="00600894"/>
    <w:rsid w:val="00636A69"/>
    <w:rsid w:val="00642EDC"/>
    <w:rsid w:val="00694632"/>
    <w:rsid w:val="006B64BA"/>
    <w:rsid w:val="006B6ACF"/>
    <w:rsid w:val="006E0761"/>
    <w:rsid w:val="006E24F4"/>
    <w:rsid w:val="00705223"/>
    <w:rsid w:val="00711409"/>
    <w:rsid w:val="00750476"/>
    <w:rsid w:val="00753A47"/>
    <w:rsid w:val="007831F2"/>
    <w:rsid w:val="00791DF1"/>
    <w:rsid w:val="007C24AA"/>
    <w:rsid w:val="007D0043"/>
    <w:rsid w:val="007D50CD"/>
    <w:rsid w:val="008011D1"/>
    <w:rsid w:val="008238A6"/>
    <w:rsid w:val="00832CD4"/>
    <w:rsid w:val="00835F05"/>
    <w:rsid w:val="00845F27"/>
    <w:rsid w:val="0086491C"/>
    <w:rsid w:val="00870B4A"/>
    <w:rsid w:val="008763CA"/>
    <w:rsid w:val="0089196B"/>
    <w:rsid w:val="008B1D0F"/>
    <w:rsid w:val="008D2DDC"/>
    <w:rsid w:val="008F2B47"/>
    <w:rsid w:val="009028F2"/>
    <w:rsid w:val="00915433"/>
    <w:rsid w:val="00915663"/>
    <w:rsid w:val="009221EE"/>
    <w:rsid w:val="009237E3"/>
    <w:rsid w:val="0093094C"/>
    <w:rsid w:val="00934FB6"/>
    <w:rsid w:val="00945905"/>
    <w:rsid w:val="009B7CBA"/>
    <w:rsid w:val="009E5472"/>
    <w:rsid w:val="009E5B05"/>
    <w:rsid w:val="009E6E78"/>
    <w:rsid w:val="009F3E6F"/>
    <w:rsid w:val="00A047CE"/>
    <w:rsid w:val="00A066E2"/>
    <w:rsid w:val="00A11E0C"/>
    <w:rsid w:val="00A15594"/>
    <w:rsid w:val="00A221F3"/>
    <w:rsid w:val="00A32960"/>
    <w:rsid w:val="00A46F4A"/>
    <w:rsid w:val="00A5367E"/>
    <w:rsid w:val="00A54A73"/>
    <w:rsid w:val="00A70783"/>
    <w:rsid w:val="00A840E7"/>
    <w:rsid w:val="00A86613"/>
    <w:rsid w:val="00A9386F"/>
    <w:rsid w:val="00A96C0C"/>
    <w:rsid w:val="00A97E99"/>
    <w:rsid w:val="00AE71F3"/>
    <w:rsid w:val="00AF0ED4"/>
    <w:rsid w:val="00AF5969"/>
    <w:rsid w:val="00B041D2"/>
    <w:rsid w:val="00B10852"/>
    <w:rsid w:val="00B20EED"/>
    <w:rsid w:val="00B42E28"/>
    <w:rsid w:val="00B43688"/>
    <w:rsid w:val="00B534DB"/>
    <w:rsid w:val="00B806F3"/>
    <w:rsid w:val="00B841DB"/>
    <w:rsid w:val="00BA6B78"/>
    <w:rsid w:val="00BB1BA5"/>
    <w:rsid w:val="00BD7686"/>
    <w:rsid w:val="00BE1603"/>
    <w:rsid w:val="00BE1B86"/>
    <w:rsid w:val="00BE3B79"/>
    <w:rsid w:val="00C04E28"/>
    <w:rsid w:val="00C05F43"/>
    <w:rsid w:val="00C22BEA"/>
    <w:rsid w:val="00C236EB"/>
    <w:rsid w:val="00C33F35"/>
    <w:rsid w:val="00C5091D"/>
    <w:rsid w:val="00C768B2"/>
    <w:rsid w:val="00C86BF0"/>
    <w:rsid w:val="00D04FA7"/>
    <w:rsid w:val="00D0591D"/>
    <w:rsid w:val="00D1658E"/>
    <w:rsid w:val="00D24825"/>
    <w:rsid w:val="00D30DB8"/>
    <w:rsid w:val="00D368BD"/>
    <w:rsid w:val="00D437A6"/>
    <w:rsid w:val="00D4462D"/>
    <w:rsid w:val="00D47EB4"/>
    <w:rsid w:val="00D626B1"/>
    <w:rsid w:val="00D86F13"/>
    <w:rsid w:val="00D93028"/>
    <w:rsid w:val="00D95628"/>
    <w:rsid w:val="00DA1E64"/>
    <w:rsid w:val="00DC5EB3"/>
    <w:rsid w:val="00DC7D04"/>
    <w:rsid w:val="00DD202A"/>
    <w:rsid w:val="00E16549"/>
    <w:rsid w:val="00E24B9A"/>
    <w:rsid w:val="00E54745"/>
    <w:rsid w:val="00E566D1"/>
    <w:rsid w:val="00E82DC9"/>
    <w:rsid w:val="00E83986"/>
    <w:rsid w:val="00E84C36"/>
    <w:rsid w:val="00E9695F"/>
    <w:rsid w:val="00EA1038"/>
    <w:rsid w:val="00EB3D54"/>
    <w:rsid w:val="00EC317F"/>
    <w:rsid w:val="00EF48C0"/>
    <w:rsid w:val="00EF7551"/>
    <w:rsid w:val="00F0029D"/>
    <w:rsid w:val="00F16628"/>
    <w:rsid w:val="00F203D6"/>
    <w:rsid w:val="00F236D0"/>
    <w:rsid w:val="00F31078"/>
    <w:rsid w:val="00F555F4"/>
    <w:rsid w:val="00F60AFA"/>
    <w:rsid w:val="00F919F6"/>
    <w:rsid w:val="00FA6B79"/>
    <w:rsid w:val="00FA7B37"/>
    <w:rsid w:val="00FB1ED3"/>
    <w:rsid w:val="00FB351E"/>
    <w:rsid w:val="00FC47EA"/>
    <w:rsid w:val="00FE53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1FF671"/>
  <w15:docId w15:val="{A6D051F3-1246-43BB-B6EE-BC9321EF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3F3"/>
    <w:rPr>
      <w:rFonts w:ascii="Arial" w:eastAsiaTheme="minorEastAsia" w:hAnsi="Arial" w:cstheme="minorBidi"/>
      <w:sz w:val="24"/>
      <w:szCs w:val="24"/>
      <w:lang w:val="en-US" w:eastAsia="en-US"/>
    </w:rPr>
  </w:style>
  <w:style w:type="paragraph" w:styleId="Heading1">
    <w:name w:val="heading 1"/>
    <w:basedOn w:val="Normal"/>
    <w:next w:val="Normal"/>
    <w:link w:val="Heading1Char"/>
    <w:uiPriority w:val="9"/>
    <w:qFormat/>
    <w:locked/>
    <w:rsid w:val="001B43F3"/>
    <w:pPr>
      <w:keepNext/>
      <w:keepLines/>
      <w:spacing w:before="240" w:line="259"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locked/>
    <w:rsid w:val="001B43F3"/>
    <w:pPr>
      <w:keepNext/>
      <w:keepLines/>
      <w:spacing w:before="40" w:line="259"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B43F3"/>
    <w:pPr>
      <w:keepNext/>
      <w:keepLines/>
      <w:spacing w:before="40"/>
      <w:outlineLvl w:val="2"/>
    </w:pPr>
    <w:rPr>
      <w:rFonts w:eastAsiaTheme="majorEastAsia" w:cstheme="majorBidi"/>
      <w:szCs w:val="22"/>
    </w:rPr>
  </w:style>
  <w:style w:type="paragraph" w:styleId="Heading4">
    <w:name w:val="heading 4"/>
    <w:basedOn w:val="Normal"/>
    <w:next w:val="Normal"/>
    <w:link w:val="Heading4Char"/>
    <w:uiPriority w:val="9"/>
    <w:unhideWhenUsed/>
    <w:qFormat/>
    <w:locked/>
    <w:rsid w:val="001B43F3"/>
    <w:pPr>
      <w:keepNext/>
      <w:keepLines/>
      <w:spacing w:before="40"/>
      <w:outlineLvl w:val="3"/>
    </w:pPr>
    <w:rPr>
      <w:rFonts w:eastAsiaTheme="majorEastAsia" w:cstheme="majorBidi"/>
      <w:iCs/>
      <w:szCs w:val="22"/>
    </w:rPr>
  </w:style>
  <w:style w:type="paragraph" w:styleId="Heading5">
    <w:name w:val="heading 5"/>
    <w:basedOn w:val="Normal"/>
    <w:next w:val="Normal"/>
    <w:link w:val="Heading5Char"/>
    <w:uiPriority w:val="9"/>
    <w:unhideWhenUsed/>
    <w:qFormat/>
    <w:locked/>
    <w:rsid w:val="00DD202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1B43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43F3"/>
  </w:style>
  <w:style w:type="character" w:customStyle="1" w:styleId="Heading3Char">
    <w:name w:val="Heading 3 Char"/>
    <w:basedOn w:val="DefaultParagraphFont"/>
    <w:link w:val="Heading3"/>
    <w:uiPriority w:val="9"/>
    <w:locked/>
    <w:rsid w:val="001B43F3"/>
    <w:rPr>
      <w:rFonts w:ascii="Arial" w:eastAsiaTheme="majorEastAsia" w:hAnsi="Arial" w:cstheme="majorBidi"/>
      <w:sz w:val="24"/>
      <w:szCs w:val="22"/>
      <w:lang w:val="en-US" w:eastAsia="en-US"/>
    </w:rPr>
  </w:style>
  <w:style w:type="character" w:styleId="Hyperlink">
    <w:name w:val="Hyperlink"/>
    <w:uiPriority w:val="99"/>
    <w:rsid w:val="0002471A"/>
    <w:rPr>
      <w:rFonts w:cs="Times New Roman"/>
      <w:color w:val="0000FF"/>
      <w:u w:val="single"/>
    </w:rPr>
  </w:style>
  <w:style w:type="paragraph" w:styleId="ListParagraph">
    <w:name w:val="List Paragraph"/>
    <w:basedOn w:val="Normal"/>
    <w:uiPriority w:val="34"/>
    <w:qFormat/>
    <w:rsid w:val="00DD202A"/>
    <w:pPr>
      <w:numPr>
        <w:numId w:val="12"/>
      </w:numPr>
      <w:contextualSpacing/>
    </w:pPr>
  </w:style>
  <w:style w:type="paragraph" w:styleId="BalloonText">
    <w:name w:val="Balloon Text"/>
    <w:basedOn w:val="Normal"/>
    <w:link w:val="BalloonTextChar"/>
    <w:uiPriority w:val="99"/>
    <w:semiHidden/>
    <w:rsid w:val="00B20EED"/>
    <w:rPr>
      <w:rFonts w:ascii="Tahoma" w:hAnsi="Tahoma" w:cs="Tahoma"/>
      <w:sz w:val="16"/>
      <w:szCs w:val="16"/>
    </w:rPr>
  </w:style>
  <w:style w:type="character" w:customStyle="1" w:styleId="BalloonTextChar">
    <w:name w:val="Balloon Text Char"/>
    <w:link w:val="BalloonText"/>
    <w:uiPriority w:val="99"/>
    <w:semiHidden/>
    <w:locked/>
    <w:rsid w:val="00B20EED"/>
    <w:rPr>
      <w:rFonts w:ascii="Tahoma" w:hAnsi="Tahoma" w:cs="Tahoma"/>
      <w:sz w:val="16"/>
      <w:szCs w:val="16"/>
    </w:rPr>
  </w:style>
  <w:style w:type="table" w:styleId="TableGrid">
    <w:name w:val="Table Grid"/>
    <w:basedOn w:val="TableNormal"/>
    <w:uiPriority w:val="99"/>
    <w:rsid w:val="00835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236EB"/>
    <w:rPr>
      <w:rFonts w:cs="Times New Roman"/>
      <w:sz w:val="16"/>
      <w:szCs w:val="16"/>
    </w:rPr>
  </w:style>
  <w:style w:type="paragraph" w:styleId="CommentText">
    <w:name w:val="annotation text"/>
    <w:basedOn w:val="Normal"/>
    <w:link w:val="CommentTextChar"/>
    <w:uiPriority w:val="99"/>
    <w:semiHidden/>
    <w:rsid w:val="00C236EB"/>
    <w:rPr>
      <w:sz w:val="20"/>
    </w:rPr>
  </w:style>
  <w:style w:type="character" w:customStyle="1" w:styleId="CommentTextChar">
    <w:name w:val="Comment Text Char"/>
    <w:link w:val="CommentText"/>
    <w:uiPriority w:val="99"/>
    <w:semiHidden/>
    <w:rsid w:val="00CA6431"/>
    <w:rPr>
      <w:rFonts w:ascii="Arial" w:eastAsia="Times New Roman" w:hAnsi="Arial"/>
      <w:sz w:val="20"/>
      <w:szCs w:val="20"/>
      <w:lang w:eastAsia="en-US"/>
    </w:rPr>
  </w:style>
  <w:style w:type="paragraph" w:styleId="CommentSubject">
    <w:name w:val="annotation subject"/>
    <w:basedOn w:val="CommentText"/>
    <w:next w:val="CommentText"/>
    <w:link w:val="CommentSubjectChar"/>
    <w:uiPriority w:val="99"/>
    <w:semiHidden/>
    <w:rsid w:val="00C236EB"/>
    <w:rPr>
      <w:b/>
      <w:bCs/>
    </w:rPr>
  </w:style>
  <w:style w:type="character" w:customStyle="1" w:styleId="CommentSubjectChar">
    <w:name w:val="Comment Subject Char"/>
    <w:link w:val="CommentSubject"/>
    <w:uiPriority w:val="99"/>
    <w:semiHidden/>
    <w:rsid w:val="00CA6431"/>
    <w:rPr>
      <w:rFonts w:ascii="Arial" w:eastAsia="Times New Roman" w:hAnsi="Arial"/>
      <w:b/>
      <w:bCs/>
      <w:sz w:val="20"/>
      <w:szCs w:val="20"/>
      <w:lang w:eastAsia="en-US"/>
    </w:rPr>
  </w:style>
  <w:style w:type="paragraph" w:customStyle="1" w:styleId="Default">
    <w:name w:val="Default"/>
    <w:rsid w:val="005648FA"/>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D1658E"/>
  </w:style>
  <w:style w:type="paragraph" w:styleId="Header">
    <w:name w:val="header"/>
    <w:basedOn w:val="Normal"/>
    <w:link w:val="HeaderChar"/>
    <w:uiPriority w:val="99"/>
    <w:unhideWhenUsed/>
    <w:rsid w:val="0052735F"/>
    <w:pPr>
      <w:tabs>
        <w:tab w:val="center" w:pos="4680"/>
        <w:tab w:val="right" w:pos="9360"/>
      </w:tabs>
    </w:pPr>
  </w:style>
  <w:style w:type="character" w:customStyle="1" w:styleId="HeaderChar">
    <w:name w:val="Header Char"/>
    <w:link w:val="Header"/>
    <w:uiPriority w:val="99"/>
    <w:rsid w:val="0052735F"/>
    <w:rPr>
      <w:rFonts w:ascii="Arial" w:eastAsia="Times New Roman" w:hAnsi="Arial"/>
      <w:szCs w:val="20"/>
      <w:lang w:eastAsia="en-US"/>
    </w:rPr>
  </w:style>
  <w:style w:type="paragraph" w:styleId="Footer">
    <w:name w:val="footer"/>
    <w:basedOn w:val="Normal"/>
    <w:link w:val="FooterChar"/>
    <w:uiPriority w:val="99"/>
    <w:unhideWhenUsed/>
    <w:rsid w:val="0052735F"/>
    <w:pPr>
      <w:tabs>
        <w:tab w:val="center" w:pos="4680"/>
        <w:tab w:val="right" w:pos="9360"/>
      </w:tabs>
    </w:pPr>
  </w:style>
  <w:style w:type="character" w:customStyle="1" w:styleId="FooterChar">
    <w:name w:val="Footer Char"/>
    <w:link w:val="Footer"/>
    <w:uiPriority w:val="99"/>
    <w:rsid w:val="0052735F"/>
    <w:rPr>
      <w:rFonts w:ascii="Arial" w:eastAsia="Times New Roman" w:hAnsi="Arial"/>
      <w:szCs w:val="20"/>
      <w:lang w:eastAsia="en-US"/>
    </w:rPr>
  </w:style>
  <w:style w:type="paragraph" w:styleId="NormalWeb">
    <w:name w:val="Normal (Web)"/>
    <w:basedOn w:val="Normal"/>
    <w:uiPriority w:val="99"/>
    <w:semiHidden/>
    <w:unhideWhenUsed/>
    <w:rsid w:val="00D437A6"/>
    <w:pPr>
      <w:spacing w:before="100" w:beforeAutospacing="1" w:after="100" w:afterAutospacing="1"/>
    </w:pPr>
    <w:rPr>
      <w:rFonts w:ascii="Times New Roman" w:hAnsi="Times New Roman"/>
      <w:lang w:eastAsia="en-CA"/>
    </w:rPr>
  </w:style>
  <w:style w:type="character" w:styleId="Strong">
    <w:name w:val="Strong"/>
    <w:uiPriority w:val="22"/>
    <w:qFormat/>
    <w:locked/>
    <w:rsid w:val="00D437A6"/>
    <w:rPr>
      <w:b/>
      <w:bCs/>
    </w:rPr>
  </w:style>
  <w:style w:type="paragraph" w:styleId="Revision">
    <w:name w:val="Revision"/>
    <w:hidden/>
    <w:uiPriority w:val="99"/>
    <w:semiHidden/>
    <w:rsid w:val="00165841"/>
    <w:rPr>
      <w:rFonts w:ascii="Arial" w:eastAsia="Times New Roman" w:hAnsi="Arial"/>
      <w:sz w:val="22"/>
      <w:lang w:eastAsia="en-US"/>
    </w:rPr>
  </w:style>
  <w:style w:type="character" w:customStyle="1" w:styleId="Heading1Char">
    <w:name w:val="Heading 1 Char"/>
    <w:basedOn w:val="DefaultParagraphFont"/>
    <w:link w:val="Heading1"/>
    <w:uiPriority w:val="9"/>
    <w:rsid w:val="001B43F3"/>
    <w:rPr>
      <w:rFonts w:ascii="Arial" w:eastAsiaTheme="majorEastAsia" w:hAnsi="Arial" w:cstheme="majorBidi"/>
      <w:b/>
      <w:sz w:val="28"/>
      <w:szCs w:val="32"/>
      <w:lang w:val="en-US" w:eastAsia="en-US"/>
    </w:rPr>
  </w:style>
  <w:style w:type="character" w:customStyle="1" w:styleId="Heading2Char">
    <w:name w:val="Heading 2 Char"/>
    <w:basedOn w:val="DefaultParagraphFont"/>
    <w:link w:val="Heading2"/>
    <w:uiPriority w:val="9"/>
    <w:rsid w:val="001B43F3"/>
    <w:rPr>
      <w:rFonts w:ascii="Arial" w:eastAsiaTheme="majorEastAsia" w:hAnsi="Arial" w:cstheme="majorBidi"/>
      <w:b/>
      <w:sz w:val="28"/>
      <w:szCs w:val="26"/>
      <w:lang w:val="en-US" w:eastAsia="en-US"/>
    </w:rPr>
  </w:style>
  <w:style w:type="character" w:customStyle="1" w:styleId="Heading5Char">
    <w:name w:val="Heading 5 Char"/>
    <w:basedOn w:val="DefaultParagraphFont"/>
    <w:link w:val="Heading5"/>
    <w:uiPriority w:val="9"/>
    <w:rsid w:val="00DD202A"/>
    <w:rPr>
      <w:rFonts w:asciiTheme="majorHAnsi" w:eastAsiaTheme="majorEastAsia" w:hAnsiTheme="majorHAnsi" w:cstheme="majorBidi"/>
      <w:color w:val="365F91" w:themeColor="accent1" w:themeShade="BF"/>
      <w:sz w:val="24"/>
      <w:szCs w:val="22"/>
      <w:lang w:val="en-US" w:eastAsia="en-US"/>
    </w:rPr>
  </w:style>
  <w:style w:type="paragraph" w:styleId="NoSpacing">
    <w:name w:val="No Spacing"/>
    <w:uiPriority w:val="1"/>
    <w:qFormat/>
    <w:rsid w:val="001B43F3"/>
    <w:rPr>
      <w:rFonts w:ascii="Arial" w:eastAsiaTheme="minorEastAsia" w:hAnsi="Arial" w:cstheme="minorBidi"/>
      <w:sz w:val="24"/>
      <w:szCs w:val="24"/>
      <w:lang w:val="en-US" w:eastAsia="en-US"/>
    </w:rPr>
  </w:style>
  <w:style w:type="paragraph" w:styleId="Title">
    <w:name w:val="Title"/>
    <w:basedOn w:val="Normal"/>
    <w:next w:val="Normal"/>
    <w:link w:val="TitleChar"/>
    <w:uiPriority w:val="10"/>
    <w:qFormat/>
    <w:locked/>
    <w:rsid w:val="00DD202A"/>
    <w:pPr>
      <w:spacing w:after="240"/>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DD202A"/>
    <w:rPr>
      <w:rFonts w:ascii="Arial" w:eastAsiaTheme="majorEastAsia" w:hAnsi="Arial" w:cstheme="majorBidi"/>
      <w:spacing w:val="-10"/>
      <w:kern w:val="28"/>
      <w:sz w:val="36"/>
      <w:szCs w:val="56"/>
      <w:lang w:val="en-US" w:eastAsia="en-US"/>
    </w:rPr>
  </w:style>
  <w:style w:type="paragraph" w:styleId="List">
    <w:name w:val="List"/>
    <w:basedOn w:val="Normal"/>
    <w:uiPriority w:val="99"/>
    <w:unhideWhenUsed/>
    <w:rsid w:val="00DD202A"/>
    <w:pPr>
      <w:ind w:left="360" w:hanging="360"/>
      <w:contextualSpacing/>
    </w:pPr>
  </w:style>
  <w:style w:type="paragraph" w:styleId="ListBullet">
    <w:name w:val="List Bullet"/>
    <w:basedOn w:val="Normal"/>
    <w:uiPriority w:val="99"/>
    <w:unhideWhenUsed/>
    <w:rsid w:val="00DD202A"/>
    <w:pPr>
      <w:numPr>
        <w:numId w:val="22"/>
      </w:numPr>
      <w:contextualSpacing/>
    </w:pPr>
  </w:style>
  <w:style w:type="paragraph" w:styleId="ListNumber">
    <w:name w:val="List Number"/>
    <w:basedOn w:val="Normal"/>
    <w:uiPriority w:val="99"/>
    <w:unhideWhenUsed/>
    <w:rsid w:val="00DD202A"/>
    <w:pPr>
      <w:numPr>
        <w:numId w:val="18"/>
      </w:numPr>
      <w:tabs>
        <w:tab w:val="clear" w:pos="360"/>
        <w:tab w:val="num" w:pos="720"/>
      </w:tabs>
      <w:ind w:left="720"/>
      <w:contextualSpacing/>
    </w:pPr>
  </w:style>
  <w:style w:type="paragraph" w:styleId="TOC2">
    <w:name w:val="toc 2"/>
    <w:basedOn w:val="Normal"/>
    <w:next w:val="Normal"/>
    <w:autoRedefine/>
    <w:locked/>
    <w:rsid w:val="00C5091D"/>
    <w:pPr>
      <w:spacing w:after="100"/>
      <w:ind w:left="240"/>
    </w:pPr>
    <w:rPr>
      <w:lang w:eastAsia="en-CA"/>
    </w:rPr>
  </w:style>
  <w:style w:type="paragraph" w:styleId="Caption">
    <w:name w:val="caption"/>
    <w:basedOn w:val="Normal"/>
    <w:next w:val="Normal"/>
    <w:unhideWhenUsed/>
    <w:qFormat/>
    <w:locked/>
    <w:rsid w:val="004B072B"/>
    <w:pPr>
      <w:spacing w:after="200"/>
    </w:pPr>
    <w:rPr>
      <w:i/>
      <w:iCs/>
      <w:color w:val="1F497D" w:themeColor="text2"/>
      <w:sz w:val="18"/>
      <w:szCs w:val="18"/>
    </w:rPr>
  </w:style>
  <w:style w:type="character" w:customStyle="1" w:styleId="Heading4Char">
    <w:name w:val="Heading 4 Char"/>
    <w:basedOn w:val="DefaultParagraphFont"/>
    <w:link w:val="Heading4"/>
    <w:uiPriority w:val="9"/>
    <w:rsid w:val="001B43F3"/>
    <w:rPr>
      <w:rFonts w:ascii="Arial" w:eastAsiaTheme="majorEastAsia" w:hAnsi="Arial" w:cstheme="majorBidi"/>
      <w:iCs/>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75483">
      <w:bodyDiv w:val="1"/>
      <w:marLeft w:val="0"/>
      <w:marRight w:val="0"/>
      <w:marTop w:val="0"/>
      <w:marBottom w:val="0"/>
      <w:divBdr>
        <w:top w:val="none" w:sz="0" w:space="0" w:color="auto"/>
        <w:left w:val="none" w:sz="0" w:space="0" w:color="auto"/>
        <w:bottom w:val="none" w:sz="0" w:space="0" w:color="auto"/>
        <w:right w:val="none" w:sz="0" w:space="0" w:color="auto"/>
      </w:divBdr>
    </w:div>
    <w:div w:id="442190783">
      <w:bodyDiv w:val="1"/>
      <w:marLeft w:val="0"/>
      <w:marRight w:val="0"/>
      <w:marTop w:val="0"/>
      <w:marBottom w:val="0"/>
      <w:divBdr>
        <w:top w:val="none" w:sz="0" w:space="0" w:color="auto"/>
        <w:left w:val="none" w:sz="0" w:space="0" w:color="auto"/>
        <w:bottom w:val="none" w:sz="0" w:space="0" w:color="auto"/>
        <w:right w:val="none" w:sz="0" w:space="0" w:color="auto"/>
      </w:divBdr>
    </w:div>
    <w:div w:id="638845421">
      <w:marLeft w:val="60"/>
      <w:marRight w:val="60"/>
      <w:marTop w:val="60"/>
      <w:marBottom w:val="15"/>
      <w:divBdr>
        <w:top w:val="none" w:sz="0" w:space="0" w:color="auto"/>
        <w:left w:val="none" w:sz="0" w:space="0" w:color="auto"/>
        <w:bottom w:val="none" w:sz="0" w:space="0" w:color="auto"/>
        <w:right w:val="none" w:sz="0" w:space="0" w:color="auto"/>
      </w:divBdr>
    </w:div>
    <w:div w:id="638845422">
      <w:marLeft w:val="60"/>
      <w:marRight w:val="60"/>
      <w:marTop w:val="60"/>
      <w:marBottom w:val="15"/>
      <w:divBdr>
        <w:top w:val="none" w:sz="0" w:space="0" w:color="auto"/>
        <w:left w:val="none" w:sz="0" w:space="0" w:color="auto"/>
        <w:bottom w:val="none" w:sz="0" w:space="0" w:color="auto"/>
        <w:right w:val="none" w:sz="0" w:space="0" w:color="auto"/>
      </w:divBdr>
    </w:div>
    <w:div w:id="638845423">
      <w:marLeft w:val="60"/>
      <w:marRight w:val="60"/>
      <w:marTop w:val="60"/>
      <w:marBottom w:val="15"/>
      <w:divBdr>
        <w:top w:val="none" w:sz="0" w:space="0" w:color="auto"/>
        <w:left w:val="none" w:sz="0" w:space="0" w:color="auto"/>
        <w:bottom w:val="none" w:sz="0" w:space="0" w:color="auto"/>
        <w:right w:val="none" w:sz="0" w:space="0" w:color="auto"/>
      </w:divBdr>
      <w:divsChild>
        <w:div w:id="638845424">
          <w:marLeft w:val="0"/>
          <w:marRight w:val="0"/>
          <w:marTop w:val="0"/>
          <w:marBottom w:val="0"/>
          <w:divBdr>
            <w:top w:val="none" w:sz="0" w:space="0" w:color="auto"/>
            <w:left w:val="none" w:sz="0" w:space="0" w:color="auto"/>
            <w:bottom w:val="none" w:sz="0" w:space="0" w:color="auto"/>
            <w:right w:val="none" w:sz="0" w:space="0" w:color="auto"/>
          </w:divBdr>
        </w:div>
      </w:divsChild>
    </w:div>
    <w:div w:id="956643322">
      <w:bodyDiv w:val="1"/>
      <w:marLeft w:val="0"/>
      <w:marRight w:val="0"/>
      <w:marTop w:val="0"/>
      <w:marBottom w:val="0"/>
      <w:divBdr>
        <w:top w:val="none" w:sz="0" w:space="0" w:color="auto"/>
        <w:left w:val="none" w:sz="0" w:space="0" w:color="auto"/>
        <w:bottom w:val="none" w:sz="0" w:space="0" w:color="auto"/>
        <w:right w:val="none" w:sz="0" w:space="0" w:color="auto"/>
      </w:divBdr>
      <w:divsChild>
        <w:div w:id="1201891589">
          <w:marLeft w:val="720"/>
          <w:marRight w:val="0"/>
          <w:marTop w:val="0"/>
          <w:marBottom w:val="0"/>
          <w:divBdr>
            <w:top w:val="none" w:sz="0" w:space="0" w:color="auto"/>
            <w:left w:val="none" w:sz="0" w:space="0" w:color="auto"/>
            <w:bottom w:val="none" w:sz="0" w:space="0" w:color="auto"/>
            <w:right w:val="none" w:sz="0" w:space="0" w:color="auto"/>
          </w:divBdr>
        </w:div>
        <w:div w:id="334841870">
          <w:marLeft w:val="0"/>
          <w:marRight w:val="0"/>
          <w:marTop w:val="0"/>
          <w:marBottom w:val="0"/>
          <w:divBdr>
            <w:top w:val="none" w:sz="0" w:space="0" w:color="auto"/>
            <w:left w:val="none" w:sz="0" w:space="0" w:color="auto"/>
            <w:bottom w:val="none" w:sz="0" w:space="0" w:color="auto"/>
            <w:right w:val="none" w:sz="0" w:space="0" w:color="auto"/>
          </w:divBdr>
        </w:div>
        <w:div w:id="1879778961">
          <w:marLeft w:val="768"/>
          <w:marRight w:val="0"/>
          <w:marTop w:val="0"/>
          <w:marBottom w:val="0"/>
          <w:divBdr>
            <w:top w:val="none" w:sz="0" w:space="0" w:color="auto"/>
            <w:left w:val="none" w:sz="0" w:space="0" w:color="auto"/>
            <w:bottom w:val="none" w:sz="0" w:space="0" w:color="auto"/>
            <w:right w:val="none" w:sz="0" w:space="0" w:color="auto"/>
          </w:divBdr>
        </w:div>
        <w:div w:id="379208627">
          <w:marLeft w:val="768"/>
          <w:marRight w:val="0"/>
          <w:marTop w:val="0"/>
          <w:marBottom w:val="0"/>
          <w:divBdr>
            <w:top w:val="none" w:sz="0" w:space="0" w:color="auto"/>
            <w:left w:val="none" w:sz="0" w:space="0" w:color="auto"/>
            <w:bottom w:val="none" w:sz="0" w:space="0" w:color="auto"/>
            <w:right w:val="none" w:sz="0" w:space="0" w:color="auto"/>
          </w:divBdr>
        </w:div>
      </w:divsChild>
    </w:div>
    <w:div w:id="10578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trentu.ca" TargetMode="External"/><Relationship Id="rId13" Type="http://schemas.openxmlformats.org/officeDocument/2006/relationships/hyperlink" Target="mailto:awalsh@trentu.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ntu.ca/ohre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rentu.ca/ohrea" TargetMode="External"/><Relationship Id="rId4" Type="http://schemas.openxmlformats.org/officeDocument/2006/relationships/settings" Target="settings.xml"/><Relationship Id="rId9" Type="http://schemas.openxmlformats.org/officeDocument/2006/relationships/hyperlink" Target="mailto:chair@trentu.ca"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33E63-682B-484C-8391-8333B15F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3545</Words>
  <Characters>21314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DRAFT – January 2014 (Hanley)</vt:lpstr>
    </vt:vector>
  </TitlesOfParts>
  <Company/>
  <LinksUpToDate>false</LinksUpToDate>
  <CharactersWithSpaces>24810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 Annual Report Update</dc:title>
  <dc:subject/>
  <dc:creator>jeff</dc:creator>
  <cp:keywords/>
  <dc:description/>
  <cp:lastModifiedBy>cwest</cp:lastModifiedBy>
  <cp:revision>4</cp:revision>
  <cp:lastPrinted>2014-02-19T14:07:00Z</cp:lastPrinted>
  <dcterms:created xsi:type="dcterms:W3CDTF">2017-06-12T15:23:00Z</dcterms:created>
  <dcterms:modified xsi:type="dcterms:W3CDTF">2017-07-05T13:22:00Z</dcterms:modified>
</cp:coreProperties>
</file>