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F14F6" w14:textId="739F8B37" w:rsidR="0056782B" w:rsidRDefault="0056782B" w:rsidP="0056782B">
      <w:pPr>
        <w:spacing w:line="48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4AACACFF" wp14:editId="3E4620BF">
                <wp:extent cx="5800725" cy="485775"/>
                <wp:effectExtent l="0" t="0" r="28575" b="28575"/>
                <wp:docPr id="1" name="Text Box 1" descr="Begin the references page on a separate page that follows the text of the paper. The word References should be written at the top of the page and should be bolded and centred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1399B" w14:textId="77777777" w:rsidR="0056782B" w:rsidRPr="006F273E" w:rsidRDefault="0056782B" w:rsidP="0056782B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  <w:r w:rsidRPr="006F273E"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 xml:space="preserve">Begin the references page on a separate page that follows the text of the paper. The word References should be written at the top of the page and should be bolded and centred. </w:t>
                            </w:r>
                          </w:p>
                          <w:p w14:paraId="06F9639D" w14:textId="65CC7AD5" w:rsidR="0056782B" w:rsidRPr="0056782B" w:rsidRDefault="0056782B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ACAC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Begin the references page on a separate page that follows the text of the paper. The word References should be written at the top of the page and should be bolded and centred. " style="width:456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" fillcolor="#deeaf6 [664]" strokeweight=".5pt">
                <v:textbox>
                  <w:txbxContent>
                    <w:p w14:paraId="7091399B" w14:textId="77777777" w:rsidR="0056782B" w:rsidRPr="006F273E" w:rsidRDefault="0056782B" w:rsidP="0056782B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  <w:r w:rsidRPr="006F273E">
                        <w:rPr>
                          <w:rFonts w:asciiTheme="minorHAnsi" w:hAnsiTheme="minorHAnsi" w:cstheme="minorHAnsi"/>
                          <w:lang w:val="en-CA"/>
                        </w:rPr>
                        <w:t xml:space="preserve">Begin the references page on a separate page that follows the text of the paper. The word References should be written at the top of the page and should be bolded and centred. </w:t>
                      </w:r>
                    </w:p>
                    <w:p w14:paraId="06F9639D" w14:textId="65CC7AD5" w:rsidR="0056782B" w:rsidRPr="0056782B" w:rsidRDefault="0056782B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A60E74" w14:textId="54A2FFE0" w:rsidR="0056782B" w:rsidRPr="0056782B" w:rsidRDefault="0056782B" w:rsidP="0056782B">
      <w:pPr>
        <w:spacing w:line="480" w:lineRule="auto"/>
        <w:jc w:val="center"/>
        <w:rPr>
          <w:b/>
          <w:bCs/>
        </w:rPr>
      </w:pPr>
      <w:r w:rsidRPr="0056782B">
        <w:rPr>
          <w:b/>
          <w:bCs/>
        </w:rPr>
        <w:t>References</w:t>
      </w:r>
    </w:p>
    <w:p w14:paraId="47856C94" w14:textId="4EFF009E" w:rsidR="0056782B" w:rsidRPr="00A45376" w:rsidRDefault="0056782B" w:rsidP="0056782B">
      <w:pPr>
        <w:spacing w:line="480" w:lineRule="auto"/>
        <w:ind w:left="720" w:hanging="720"/>
      </w:pPr>
      <w:r w:rsidRPr="00A45376">
        <w:t>Baier, M. (2009). Stress and adaptation. In P. Potter, A. Perry, J. Ross-Kerr, &amp; M.</w:t>
      </w:r>
      <w:r>
        <w:t xml:space="preserve"> </w:t>
      </w:r>
      <w:r w:rsidRPr="00A45376">
        <w:t xml:space="preserve">Wood (Eds.), </w:t>
      </w:r>
      <w:r w:rsidRPr="00A45376">
        <w:rPr>
          <w:i/>
        </w:rPr>
        <w:t>Canadian fundamentals of nursing,</w:t>
      </w:r>
      <w:r>
        <w:rPr>
          <w:i/>
        </w:rPr>
        <w:t xml:space="preserve"> </w:t>
      </w:r>
      <w:r w:rsidRPr="00A45376">
        <w:t>(4</w:t>
      </w:r>
      <w:r>
        <w:t>th e</w:t>
      </w:r>
      <w:r w:rsidRPr="00A45376">
        <w:t>d., pp.</w:t>
      </w:r>
      <w:r w:rsidR="00493F1E">
        <w:t xml:space="preserve"> </w:t>
      </w:r>
      <w:bookmarkStart w:id="0" w:name="_GoBack"/>
      <w:bookmarkEnd w:id="0"/>
      <w:r w:rsidRPr="00A45376">
        <w:t>476-492). Elsevier Canada.</w:t>
      </w:r>
      <w:r w:rsidRPr="00A45376">
        <w:rPr>
          <w:i/>
        </w:rPr>
        <w:t xml:space="preserve"> </w:t>
      </w:r>
    </w:p>
    <w:p w14:paraId="67F21122" w14:textId="0656AEF8" w:rsidR="0056782B" w:rsidRPr="00A45376" w:rsidRDefault="0056782B" w:rsidP="00987BB4">
      <w:pPr>
        <w:spacing w:line="480" w:lineRule="auto"/>
        <w:ind w:left="720" w:hanging="720"/>
        <w:rPr>
          <w:rFonts w:cs="LucidaGrande"/>
          <w:szCs w:val="22"/>
          <w:lang w:bidi="en-US"/>
        </w:rPr>
      </w:pPr>
      <w:r w:rsidRPr="00A45376">
        <w:rPr>
          <w:rFonts w:cs="LucidaGrande"/>
          <w:szCs w:val="22"/>
          <w:lang w:bidi="en-US"/>
        </w:rPr>
        <w:t>Cana</w:t>
      </w:r>
      <w:r w:rsidR="00493F1E">
        <w:rPr>
          <w:rFonts w:cs="LucidaGrande"/>
          <w:szCs w:val="22"/>
          <w:lang w:bidi="en-US"/>
        </w:rPr>
        <w:t>dian Diabetes Association. (2021</w:t>
      </w:r>
      <w:r>
        <w:rPr>
          <w:rFonts w:cs="LucidaGrande"/>
          <w:szCs w:val="22"/>
          <w:lang w:bidi="en-US"/>
        </w:rPr>
        <w:t>a</w:t>
      </w:r>
      <w:r w:rsidRPr="00A45376">
        <w:rPr>
          <w:rFonts w:cs="LucidaGrande"/>
          <w:szCs w:val="22"/>
          <w:lang w:bidi="en-US"/>
        </w:rPr>
        <w:t xml:space="preserve">). </w:t>
      </w:r>
      <w:r w:rsidRPr="00A45376">
        <w:rPr>
          <w:rFonts w:cs="LucidaGrande"/>
          <w:i/>
          <w:szCs w:val="22"/>
          <w:lang w:bidi="en-US"/>
        </w:rPr>
        <w:t>Complications.</w:t>
      </w:r>
      <w:r w:rsidRPr="00A45376">
        <w:rPr>
          <w:rFonts w:cs="LucidaGrande"/>
          <w:szCs w:val="22"/>
          <w:lang w:bidi="en-US"/>
        </w:rPr>
        <w:t xml:space="preserve"> </w:t>
      </w:r>
      <w:hyperlink r:id="rId6" w:history="1">
        <w:r w:rsidR="00493F1E" w:rsidRPr="00144D0A">
          <w:rPr>
            <w:rStyle w:val="Hyperlink"/>
            <w:rFonts w:cs="LucidaGrande"/>
            <w:szCs w:val="22"/>
            <w:lang w:bidi="en-US"/>
          </w:rPr>
          <w:t>https://www.diabetes.ca/en-CA/about-diabetes/type-1/complications</w:t>
        </w:r>
      </w:hyperlink>
      <w:r w:rsidR="00493F1E">
        <w:rPr>
          <w:rFonts w:cs="LucidaGrande"/>
          <w:szCs w:val="22"/>
          <w:lang w:bidi="en-US"/>
        </w:rPr>
        <w:t xml:space="preserve"> </w:t>
      </w:r>
    </w:p>
    <w:p w14:paraId="7B33EA80" w14:textId="4D7A340F" w:rsidR="00987BB4" w:rsidRDefault="0056782B" w:rsidP="0056782B">
      <w:pPr>
        <w:spacing w:line="480" w:lineRule="auto"/>
        <w:ind w:left="720" w:hanging="720"/>
      </w:pPr>
      <w:r w:rsidRPr="00A45376">
        <w:t>Canadian Diabetes Assoc</w:t>
      </w:r>
      <w:r w:rsidR="00493F1E">
        <w:t>iation. (2021</w:t>
      </w:r>
      <w:r>
        <w:t>b</w:t>
      </w:r>
      <w:r w:rsidRPr="00A45376">
        <w:t xml:space="preserve">). </w:t>
      </w:r>
      <w:r w:rsidR="00493F1E">
        <w:rPr>
          <w:i/>
        </w:rPr>
        <w:t>How Diabetes Canada helps</w:t>
      </w:r>
      <w:r w:rsidRPr="00A45376">
        <w:rPr>
          <w:i/>
        </w:rPr>
        <w:t>.</w:t>
      </w:r>
      <w:r w:rsidRPr="00A45376">
        <w:t xml:space="preserve"> </w:t>
      </w:r>
      <w:hyperlink r:id="rId7" w:history="1">
        <w:r w:rsidR="00493F1E" w:rsidRPr="00144D0A">
          <w:rPr>
            <w:rStyle w:val="Hyperlink"/>
          </w:rPr>
          <w:t>https://www.diabetes.ca/how-diabetes-canada-helps</w:t>
        </w:r>
      </w:hyperlink>
      <w:r w:rsidR="00493F1E">
        <w:t xml:space="preserve"> </w:t>
      </w:r>
    </w:p>
    <w:p w14:paraId="64450E70" w14:textId="1357DD1E" w:rsidR="00987BB4" w:rsidRDefault="006F273E" w:rsidP="0056782B">
      <w:pPr>
        <w:spacing w:line="480" w:lineRule="auto"/>
        <w:ind w:left="720" w:hanging="720"/>
      </w:pPr>
      <w:r>
        <w:rPr>
          <w:noProof/>
        </w:rPr>
        <mc:AlternateContent>
          <mc:Choice Requires="wps">
            <w:drawing>
              <wp:inline distT="0" distB="0" distL="0" distR="0" wp14:anchorId="2CCA79E1" wp14:editId="7979345D">
                <wp:extent cx="5943600" cy="657225"/>
                <wp:effectExtent l="0" t="0" r="19050" b="28575"/>
                <wp:docPr id="3" name="Text Box 3" descr="List multiple works by the same author first in chronological order and then in alphabetical order of the title. If more than one work has the same date, use lower-case letters to differentiate the sources, both in the references page and in in-text citation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85313" w14:textId="77777777" w:rsidR="006F273E" w:rsidRPr="006F273E" w:rsidRDefault="006F273E" w:rsidP="006F273E">
                            <w:pP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</w:pPr>
                            <w:r w:rsidRPr="006F273E"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>List multiple works by the same author first in chronological order and then in alphabetical order of the title. If more than one work has the same date, use lower-case letters to differentiate the sources, both in the references page and in in-text citations.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A79E1" id="Text Box 3" o:spid="_x0000_s1027" type="#_x0000_t202" alt="List multiple works by the same author first in chronological order and then in alphabetical order of the title. If more than one work has the same date, use lower-case letters to differentiate the sources, both in the references page and in in-text citations." style="width:468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" fillcolor="#deeaf6 [664]" strokeweight=".5pt">
                <v:textbox>
                  <w:txbxContent>
                    <w:p w14:paraId="2DB85313" w14:textId="77777777" w:rsidR="006F273E" w:rsidRPr="006F273E" w:rsidRDefault="006F273E" w:rsidP="006F273E">
                      <w:pPr>
                        <w:rPr>
                          <w:rFonts w:asciiTheme="minorHAnsi" w:hAnsiTheme="minorHAnsi" w:cstheme="minorHAnsi"/>
                          <w:lang w:val="en-CA"/>
                        </w:rPr>
                      </w:pPr>
                      <w:r w:rsidRPr="006F273E">
                        <w:rPr>
                          <w:rFonts w:asciiTheme="minorHAnsi" w:hAnsiTheme="minorHAnsi" w:cstheme="minorHAnsi"/>
                          <w:lang w:val="en-CA"/>
                        </w:rPr>
                        <w:t>List multiple works by the same author first in chronological order and then in alphabetical order of the title. If more than one work has the same date, use lower-case letters to differentiate the sources, both in the references page and in in-text citations.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12E19D" w14:textId="3848851C" w:rsidR="0056782B" w:rsidRPr="00A45376" w:rsidRDefault="0056782B" w:rsidP="0056782B">
      <w:pPr>
        <w:spacing w:line="480" w:lineRule="auto"/>
        <w:ind w:left="720" w:hanging="720"/>
        <w:rPr>
          <w:rFonts w:cs="LucidaGrande"/>
          <w:szCs w:val="22"/>
          <w:lang w:bidi="en-US"/>
        </w:rPr>
      </w:pPr>
      <w:r w:rsidRPr="00A45376">
        <w:rPr>
          <w:rFonts w:cs="LucidaGrande"/>
          <w:szCs w:val="22"/>
          <w:lang w:bidi="en-US"/>
        </w:rPr>
        <w:t>Denson, T.</w:t>
      </w:r>
      <w:r>
        <w:rPr>
          <w:rFonts w:cs="LucidaGrande"/>
          <w:szCs w:val="22"/>
          <w:lang w:bidi="en-US"/>
        </w:rPr>
        <w:t xml:space="preserve"> </w:t>
      </w:r>
      <w:r w:rsidRPr="00A45376">
        <w:rPr>
          <w:rFonts w:cs="LucidaGrande"/>
          <w:szCs w:val="22"/>
          <w:lang w:bidi="en-US"/>
        </w:rPr>
        <w:t xml:space="preserve">F., </w:t>
      </w:r>
      <w:proofErr w:type="spellStart"/>
      <w:r w:rsidRPr="00A45376">
        <w:rPr>
          <w:rFonts w:cs="LucidaGrande"/>
          <w:szCs w:val="22"/>
          <w:lang w:bidi="en-US"/>
        </w:rPr>
        <w:t>Spanovic</w:t>
      </w:r>
      <w:proofErr w:type="spellEnd"/>
      <w:r w:rsidRPr="00A45376">
        <w:rPr>
          <w:rFonts w:cs="LucidaGrande"/>
          <w:szCs w:val="22"/>
          <w:lang w:bidi="en-US"/>
        </w:rPr>
        <w:t xml:space="preserve">, M., &amp; Miller, N. (2009). Cognitive appraisals and emotions predict cortisol and immune response: </w:t>
      </w:r>
      <w:r>
        <w:rPr>
          <w:rFonts w:cs="LucidaGrande"/>
          <w:szCs w:val="22"/>
          <w:lang w:bidi="en-US"/>
        </w:rPr>
        <w:t>A</w:t>
      </w:r>
      <w:r w:rsidRPr="00A45376">
        <w:rPr>
          <w:rFonts w:cs="LucidaGrande"/>
          <w:szCs w:val="22"/>
          <w:lang w:bidi="en-US"/>
        </w:rPr>
        <w:t xml:space="preserve"> meta-analysis of acute laboratory social stressors and emotion inductions. </w:t>
      </w:r>
      <w:r w:rsidRPr="00A45376">
        <w:rPr>
          <w:rFonts w:cs="LucidaGrande"/>
          <w:i/>
          <w:szCs w:val="22"/>
          <w:lang w:bidi="en-US"/>
        </w:rPr>
        <w:t>Psychological Bulletin, 135</w:t>
      </w:r>
      <w:r w:rsidRPr="00A45376">
        <w:rPr>
          <w:rFonts w:cs="LucidaGrande"/>
          <w:szCs w:val="22"/>
          <w:lang w:bidi="en-US"/>
        </w:rPr>
        <w:t xml:space="preserve">, 823-853. </w:t>
      </w:r>
      <w:hyperlink r:id="rId8" w:history="1">
        <w:r w:rsidR="00493F1E" w:rsidRPr="00144D0A">
          <w:rPr>
            <w:rStyle w:val="Hyperlink"/>
            <w:rFonts w:cs="LucidaGrande"/>
            <w:szCs w:val="22"/>
            <w:lang w:bidi="en-US"/>
          </w:rPr>
          <w:t>https://doi.org/10.1037/a0016909</w:t>
        </w:r>
      </w:hyperlink>
      <w:r w:rsidR="00493F1E">
        <w:rPr>
          <w:rFonts w:cs="LucidaGrande"/>
          <w:szCs w:val="22"/>
          <w:lang w:bidi="en-US"/>
        </w:rPr>
        <w:t xml:space="preserve"> </w:t>
      </w:r>
    </w:p>
    <w:p w14:paraId="5565F629" w14:textId="246EC80C" w:rsidR="0056782B" w:rsidRPr="00A45376" w:rsidRDefault="0056782B" w:rsidP="0056782B">
      <w:pPr>
        <w:spacing w:line="480" w:lineRule="auto"/>
        <w:ind w:left="720" w:hanging="720"/>
      </w:pPr>
      <w:r>
        <w:rPr>
          <w:rFonts w:cs="LucidaGrande"/>
          <w:szCs w:val="22"/>
          <w:lang w:bidi="en-US"/>
        </w:rPr>
        <w:t>Hall, A. (2009). Client e</w:t>
      </w:r>
      <w:r w:rsidRPr="00A45376">
        <w:rPr>
          <w:rFonts w:cs="LucidaGrande"/>
          <w:szCs w:val="22"/>
          <w:lang w:bidi="en-US"/>
        </w:rPr>
        <w:t xml:space="preserve">ducation. </w:t>
      </w:r>
      <w:r>
        <w:t>In P. Potter, A. Perry,</w:t>
      </w:r>
      <w:r w:rsidRPr="00A45376">
        <w:t xml:space="preserve"> J. Ross-Kerr, &amp; M. Wood (Eds.), </w:t>
      </w:r>
      <w:r w:rsidRPr="00A45376">
        <w:rPr>
          <w:i/>
        </w:rPr>
        <w:t>Canadian fundamentals of nursing,</w:t>
      </w:r>
      <w:r>
        <w:rPr>
          <w:i/>
        </w:rPr>
        <w:t xml:space="preserve"> </w:t>
      </w:r>
      <w:r w:rsidRPr="00A45376">
        <w:t>(4</w:t>
      </w:r>
      <w:r w:rsidRPr="00576EDD">
        <w:t>th</w:t>
      </w:r>
      <w:r>
        <w:rPr>
          <w:vertAlign w:val="superscript"/>
        </w:rPr>
        <w:t xml:space="preserve"> </w:t>
      </w:r>
      <w:r>
        <w:t>e</w:t>
      </w:r>
      <w:r w:rsidRPr="00A45376">
        <w:t>d., pp. 300-311). Elsevier Canada.</w:t>
      </w:r>
      <w:r w:rsidRPr="00A45376">
        <w:rPr>
          <w:i/>
        </w:rPr>
        <w:t xml:space="preserve"> </w:t>
      </w:r>
    </w:p>
    <w:p w14:paraId="43A17097" w14:textId="431232AA" w:rsidR="0056782B" w:rsidRPr="001E70F0" w:rsidRDefault="0056782B" w:rsidP="0056782B">
      <w:pPr>
        <w:spacing w:line="480" w:lineRule="auto"/>
        <w:ind w:left="720" w:hanging="720"/>
        <w:rPr>
          <w:rFonts w:cs="Tahoma"/>
          <w:szCs w:val="26"/>
          <w:lang w:bidi="en-US"/>
        </w:rPr>
      </w:pPr>
      <w:proofErr w:type="spellStart"/>
      <w:r w:rsidRPr="001D4010">
        <w:rPr>
          <w:lang w:val="fr-CA"/>
        </w:rPr>
        <w:t>Mauriello</w:t>
      </w:r>
      <w:proofErr w:type="spellEnd"/>
      <w:r w:rsidRPr="001D4010">
        <w:rPr>
          <w:lang w:val="fr-CA"/>
        </w:rPr>
        <w:t xml:space="preserve">, L. M., Rossi, J. S., </w:t>
      </w:r>
      <w:proofErr w:type="spellStart"/>
      <w:r w:rsidRPr="001D4010">
        <w:rPr>
          <w:lang w:val="fr-CA"/>
        </w:rPr>
        <w:t>Fava</w:t>
      </w:r>
      <w:proofErr w:type="spellEnd"/>
      <w:r w:rsidRPr="001D4010">
        <w:rPr>
          <w:lang w:val="fr-CA"/>
        </w:rPr>
        <w:t xml:space="preserve">, J. L., Redding, C. A., Robbins, M., </w:t>
      </w:r>
      <w:proofErr w:type="spellStart"/>
      <w:r w:rsidRPr="001D4010">
        <w:rPr>
          <w:lang w:val="fr-CA"/>
        </w:rPr>
        <w:t>Prochaska</w:t>
      </w:r>
      <w:proofErr w:type="spellEnd"/>
      <w:r w:rsidRPr="001D4010">
        <w:rPr>
          <w:lang w:val="fr-CA"/>
        </w:rPr>
        <w:t xml:space="preserve">, J. O., &amp; Meier, K. S. (2007). </w:t>
      </w:r>
      <w:r w:rsidRPr="00A45376">
        <w:t xml:space="preserve">Assessment of the pros and cons of stress management among adolescents: </w:t>
      </w:r>
      <w:r>
        <w:t>D</w:t>
      </w:r>
      <w:r w:rsidRPr="00A45376">
        <w:t xml:space="preserve">evelopment and validation of a decisional balance measure. </w:t>
      </w:r>
      <w:r w:rsidRPr="00A45376">
        <w:rPr>
          <w:i/>
        </w:rPr>
        <w:t>American Journal of Health Promotion, 22</w:t>
      </w:r>
      <w:r w:rsidRPr="00A45376">
        <w:t xml:space="preserve">(2), 140-143. </w:t>
      </w:r>
      <w:hyperlink r:id="rId9" w:history="1">
        <w:r w:rsidR="00493F1E" w:rsidRPr="00144D0A">
          <w:rPr>
            <w:rStyle w:val="Hyperlink"/>
          </w:rPr>
          <w:t>https://doi.org/10.4278/0890-1171-22.2.140</w:t>
        </w:r>
      </w:hyperlink>
      <w:r w:rsidR="00493F1E">
        <w:t xml:space="preserve"> </w:t>
      </w:r>
    </w:p>
    <w:p w14:paraId="4CE03F76" w14:textId="77777777" w:rsidR="0020085D" w:rsidRDefault="00C427A3"/>
    <w:sectPr w:rsidR="0020085D" w:rsidSect="0056782B">
      <w:headerReference w:type="default" r:id="rId10"/>
      <w:pgSz w:w="12240" w:h="15840"/>
      <w:pgMar w:top="1440" w:right="1440" w:bottom="1440" w:left="1440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BFAF3" w14:textId="77777777" w:rsidR="00C427A3" w:rsidRDefault="00C427A3" w:rsidP="0056782B">
      <w:r>
        <w:separator/>
      </w:r>
    </w:p>
  </w:endnote>
  <w:endnote w:type="continuationSeparator" w:id="0">
    <w:p w14:paraId="0B381ED0" w14:textId="77777777" w:rsidR="00C427A3" w:rsidRDefault="00C427A3" w:rsidP="0056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0070" w14:textId="77777777" w:rsidR="00C427A3" w:rsidRDefault="00C427A3" w:rsidP="0056782B">
      <w:r>
        <w:separator/>
      </w:r>
    </w:p>
  </w:footnote>
  <w:footnote w:type="continuationSeparator" w:id="0">
    <w:p w14:paraId="4A34144B" w14:textId="77777777" w:rsidR="00C427A3" w:rsidRDefault="00C427A3" w:rsidP="0056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9F101" w14:textId="139EAADF" w:rsidR="004C78A2" w:rsidRDefault="00E569A0" w:rsidP="00E272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F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355F98F8" w14:textId="46DEBD28" w:rsidR="004C78A2" w:rsidRDefault="00C427A3" w:rsidP="00E2724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2B"/>
    <w:rsid w:val="00007110"/>
    <w:rsid w:val="00073E0F"/>
    <w:rsid w:val="0036018B"/>
    <w:rsid w:val="00493F1E"/>
    <w:rsid w:val="0056782B"/>
    <w:rsid w:val="00696F31"/>
    <w:rsid w:val="006F273E"/>
    <w:rsid w:val="00987BB4"/>
    <w:rsid w:val="00C427A3"/>
    <w:rsid w:val="00E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E838"/>
  <w15:chartTrackingRefBased/>
  <w15:docId w15:val="{D9F8D328-B9EA-4147-9A43-22D13F4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2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82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56782B"/>
  </w:style>
  <w:style w:type="paragraph" w:customStyle="1" w:styleId="BodyA">
    <w:name w:val="Body A"/>
    <w:rsid w:val="0056782B"/>
    <w:rPr>
      <w:rFonts w:ascii="Helvetica" w:eastAsia="ヒラギノ角ゴ Pro W3" w:hAnsi="Helvetica" w:cs="Times New Roman"/>
      <w:color w:val="000000"/>
      <w:szCs w:val="20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567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82B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87B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a00169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abetes.ca/how-diabetes-canada-hel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betes.ca/en-CA/about-diabetes/type-1/complication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4278/0890-1171-22.2.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CAPELL</dc:creator>
  <cp:keywords/>
  <dc:description/>
  <cp:lastModifiedBy>Natalie Nelson</cp:lastModifiedBy>
  <cp:revision>2</cp:revision>
  <dcterms:created xsi:type="dcterms:W3CDTF">2021-03-16T19:23:00Z</dcterms:created>
  <dcterms:modified xsi:type="dcterms:W3CDTF">2021-03-16T19:23:00Z</dcterms:modified>
  <cp:contentStatus/>
</cp:coreProperties>
</file>